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97" w:rsidRDefault="00DA0B97" w:rsidP="00DA0B97">
      <w:pPr>
        <w:rPr>
          <w:rFonts w:cstheme="minorHAnsi"/>
        </w:rPr>
      </w:pPr>
    </w:p>
    <w:p w:rsidR="002A710B" w:rsidRDefault="00905580" w:rsidP="00905580">
      <w:pPr>
        <w:rPr>
          <w:rFonts w:cstheme="minorHAnsi"/>
        </w:rPr>
      </w:pPr>
      <w:r>
        <w:rPr>
          <w:rFonts w:cstheme="minorHAnsi"/>
        </w:rPr>
        <w:t>Evidencijski broj: 01-</w:t>
      </w:r>
      <w:r w:rsidR="002E39F0">
        <w:rPr>
          <w:rFonts w:cstheme="minorHAnsi"/>
        </w:rPr>
        <w:t>198/2021</w:t>
      </w:r>
      <w:r>
        <w:rPr>
          <w:rFonts w:cstheme="minorHAnsi"/>
        </w:rPr>
        <w:t>/03-</w:t>
      </w:r>
      <w:r w:rsidR="002E39F0">
        <w:rPr>
          <w:rFonts w:cstheme="minorHAnsi"/>
        </w:rPr>
        <w:t>08</w:t>
      </w:r>
    </w:p>
    <w:p w:rsidR="00905580" w:rsidRDefault="00905580" w:rsidP="00905580">
      <w:pPr>
        <w:rPr>
          <w:rFonts w:cstheme="minorHAnsi"/>
        </w:rPr>
      </w:pPr>
    </w:p>
    <w:p w:rsidR="00905580" w:rsidRDefault="00905580" w:rsidP="00905580">
      <w:pPr>
        <w:rPr>
          <w:rFonts w:cstheme="minorHAnsi"/>
        </w:rPr>
      </w:pPr>
      <w:r>
        <w:rPr>
          <w:rFonts w:cstheme="minorHAnsi"/>
        </w:rPr>
        <w:t xml:space="preserve">Knin, </w:t>
      </w:r>
      <w:r w:rsidR="002E39F0">
        <w:rPr>
          <w:rFonts w:cstheme="minorHAnsi"/>
        </w:rPr>
        <w:t>08</w:t>
      </w:r>
      <w:r>
        <w:rPr>
          <w:rFonts w:cstheme="minorHAnsi"/>
        </w:rPr>
        <w:t>. ožujka 202</w:t>
      </w:r>
      <w:r w:rsidR="002E39F0">
        <w:rPr>
          <w:rFonts w:cstheme="minorHAnsi"/>
        </w:rPr>
        <w:t>1</w:t>
      </w:r>
      <w:r>
        <w:rPr>
          <w:rFonts w:cstheme="minorHAnsi"/>
        </w:rPr>
        <w:t xml:space="preserve">. </w:t>
      </w:r>
    </w:p>
    <w:p w:rsidR="00905580" w:rsidRPr="00905580" w:rsidRDefault="00905580" w:rsidP="00905580">
      <w:pPr>
        <w:rPr>
          <w:rFonts w:cstheme="minorHAnsi"/>
        </w:rPr>
      </w:pPr>
    </w:p>
    <w:p w:rsidR="002A710B" w:rsidRDefault="002A710B" w:rsidP="002A710B">
      <w:pPr>
        <w:rPr>
          <w:rFonts w:cstheme="minorHAnsi"/>
        </w:rPr>
      </w:pPr>
      <w:r>
        <w:rPr>
          <w:rFonts w:cstheme="minorHAnsi"/>
        </w:rPr>
        <w:t>Na temelju Zakona o sustavu unutarnjih financijskih kontrola (Narodne novine 141/06 i 102/19), Plana uspostave FMC-a, Upravitelj-Knin d.o.o</w:t>
      </w:r>
      <w:r w:rsidRPr="002A710B">
        <w:rPr>
          <w:rFonts w:cstheme="minorHAnsi"/>
        </w:rPr>
        <w:t xml:space="preserve">.  donosi </w:t>
      </w:r>
    </w:p>
    <w:p w:rsidR="002A710B" w:rsidRDefault="002A710B" w:rsidP="002A710B">
      <w:pPr>
        <w:rPr>
          <w:rFonts w:cstheme="minorHAnsi"/>
        </w:rPr>
      </w:pPr>
    </w:p>
    <w:p w:rsidR="002A710B" w:rsidRDefault="002A710B" w:rsidP="002A710B">
      <w:pPr>
        <w:jc w:val="center"/>
        <w:rPr>
          <w:rFonts w:cstheme="minorHAnsi"/>
          <w:b/>
        </w:rPr>
      </w:pPr>
    </w:p>
    <w:p w:rsidR="002A710B" w:rsidRPr="002A710B" w:rsidRDefault="002A710B" w:rsidP="002A710B">
      <w:pPr>
        <w:jc w:val="center"/>
        <w:rPr>
          <w:rFonts w:cstheme="minorHAnsi"/>
          <w:b/>
          <w:sz w:val="24"/>
          <w:szCs w:val="24"/>
        </w:rPr>
      </w:pPr>
      <w:r w:rsidRPr="002A710B">
        <w:rPr>
          <w:rFonts w:cstheme="minorHAnsi"/>
          <w:b/>
          <w:sz w:val="24"/>
          <w:szCs w:val="24"/>
        </w:rPr>
        <w:t>GODIŠNJE IZVJEŠĆE O PROVEDBI SUSTAVA FINANCIJSKOG UPRAVLJANJA (FMC)</w:t>
      </w:r>
    </w:p>
    <w:p w:rsidR="002A710B" w:rsidRPr="002A710B" w:rsidRDefault="002A710B" w:rsidP="002A710B">
      <w:pPr>
        <w:jc w:val="center"/>
        <w:rPr>
          <w:rFonts w:cstheme="minorHAnsi"/>
          <w:b/>
          <w:sz w:val="24"/>
          <w:szCs w:val="24"/>
        </w:rPr>
      </w:pPr>
      <w:r w:rsidRPr="002A710B">
        <w:rPr>
          <w:rFonts w:cstheme="minorHAnsi"/>
          <w:b/>
          <w:sz w:val="24"/>
          <w:szCs w:val="24"/>
        </w:rPr>
        <w:t>ZA 20</w:t>
      </w:r>
      <w:r w:rsidR="00927D89">
        <w:rPr>
          <w:rFonts w:cstheme="minorHAnsi"/>
          <w:b/>
          <w:sz w:val="24"/>
          <w:szCs w:val="24"/>
        </w:rPr>
        <w:t>20</w:t>
      </w:r>
      <w:r w:rsidRPr="002A710B">
        <w:rPr>
          <w:rFonts w:cstheme="minorHAnsi"/>
          <w:b/>
          <w:sz w:val="24"/>
          <w:szCs w:val="24"/>
        </w:rPr>
        <w:t>. GODINU</w:t>
      </w:r>
    </w:p>
    <w:p w:rsidR="002A710B" w:rsidRDefault="002A710B" w:rsidP="002A710B">
      <w:pPr>
        <w:jc w:val="center"/>
        <w:rPr>
          <w:rFonts w:cstheme="minorHAnsi"/>
          <w:b/>
        </w:rPr>
      </w:pPr>
    </w:p>
    <w:p w:rsidR="002A710B" w:rsidRDefault="002A710B" w:rsidP="002A710B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U skladu s odredbom članka 15. Zakona o sustavu unutarnjih financijskih kontrola u javn</w:t>
      </w:r>
      <w:r w:rsidR="00815136">
        <w:rPr>
          <w:rFonts w:cstheme="minorHAnsi"/>
        </w:rPr>
        <w:t>o</w:t>
      </w:r>
      <w:r>
        <w:rPr>
          <w:rFonts w:cstheme="minorHAnsi"/>
        </w:rPr>
        <w:t>m sektoru, godišnje izvješće o sustavu financijskog upravljanja i kontrola priprema voditelj za financijsko upravljanje i kontole- voditelj službe financija i računovodstva, na temelju podataka koji se odnose na izvještajno razdoblje, a odobrava direktor.</w:t>
      </w:r>
    </w:p>
    <w:p w:rsidR="002A710B" w:rsidRDefault="002A710B" w:rsidP="002A710B">
      <w:pPr>
        <w:pStyle w:val="ListParagraph"/>
        <w:jc w:val="both"/>
        <w:rPr>
          <w:rFonts w:cstheme="minorHAnsi"/>
        </w:rPr>
      </w:pPr>
    </w:p>
    <w:p w:rsidR="002A710B" w:rsidRDefault="002A710B" w:rsidP="002A710B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Godišnje izvješće sadrži sljedeće dijelove:</w:t>
      </w:r>
    </w:p>
    <w:p w:rsidR="002A710B" w:rsidRDefault="002A710B" w:rsidP="002A710B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OPĆI DIO </w:t>
      </w:r>
    </w:p>
    <w:p w:rsidR="002A710B" w:rsidRDefault="002A710B" w:rsidP="002A710B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Opći dio o </w:t>
      </w:r>
      <w:r w:rsidR="00905580">
        <w:rPr>
          <w:rFonts w:cstheme="minorHAnsi"/>
        </w:rPr>
        <w:t>Društvu</w:t>
      </w:r>
    </w:p>
    <w:p w:rsidR="00905580" w:rsidRDefault="00905580" w:rsidP="002A710B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Organizacijsku u</w:t>
      </w:r>
      <w:r w:rsidR="00815136">
        <w:rPr>
          <w:rFonts w:cstheme="minorHAnsi"/>
        </w:rPr>
        <w:t>s</w:t>
      </w:r>
      <w:r>
        <w:rPr>
          <w:rFonts w:cstheme="minorHAnsi"/>
        </w:rPr>
        <w:t xml:space="preserve">postavu sustava financijskog upravljanja i kontrola </w:t>
      </w:r>
    </w:p>
    <w:p w:rsidR="00905580" w:rsidRDefault="00905580" w:rsidP="002A710B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Prethodne i naknadne kontrole</w:t>
      </w:r>
    </w:p>
    <w:p w:rsidR="00905580" w:rsidRDefault="00905580" w:rsidP="00905580">
      <w:pPr>
        <w:pStyle w:val="ListParagraph"/>
        <w:ind w:left="1800"/>
        <w:jc w:val="both"/>
        <w:rPr>
          <w:rFonts w:cstheme="minorHAnsi"/>
        </w:rPr>
      </w:pPr>
    </w:p>
    <w:p w:rsidR="00905580" w:rsidRDefault="00905580" w:rsidP="0090558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POSEBNI DIO</w:t>
      </w:r>
    </w:p>
    <w:p w:rsidR="00905580" w:rsidRDefault="00905580" w:rsidP="0090558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Upitnik o samoprocjeni financijskog upravljanja i kontrola, koji se sastoji od pitanja koja se odnose na pojedinu komponentu unutarnje kontrole čiji se odgovori boduju.</w:t>
      </w:r>
    </w:p>
    <w:p w:rsidR="00905580" w:rsidRDefault="00905580" w:rsidP="00905580">
      <w:pPr>
        <w:jc w:val="both"/>
        <w:rPr>
          <w:rFonts w:cstheme="minorHAnsi"/>
        </w:rPr>
      </w:pPr>
    </w:p>
    <w:p w:rsidR="00905580" w:rsidRPr="00905580" w:rsidRDefault="00905580" w:rsidP="00905580">
      <w:pPr>
        <w:jc w:val="both"/>
        <w:rPr>
          <w:rFonts w:cstheme="minorHAnsi"/>
        </w:rPr>
      </w:pPr>
      <w:r>
        <w:rPr>
          <w:rFonts w:cstheme="minorHAnsi"/>
        </w:rPr>
        <w:t xml:space="preserve">Godišnje izvješće izrađuje se na način da se popunjava sljedeći obrazac: OBRAZAC G-FMC- Godišnje izvješće o sustavu financijskog upravljanja i kontrola, a potpisuju ga direktor Upravitelja-Knin d.o.o. i voditelj za </w:t>
      </w:r>
      <w:r w:rsidRPr="00905580">
        <w:rPr>
          <w:rFonts w:cstheme="minorHAnsi"/>
          <w:bCs/>
        </w:rPr>
        <w:t>FMC sustav</w:t>
      </w:r>
      <w:r>
        <w:rPr>
          <w:rFonts w:cstheme="minorHAnsi"/>
          <w:bCs/>
        </w:rPr>
        <w:t xml:space="preserve"> (voditelj službe financija i računovodstva).</w:t>
      </w:r>
    </w:p>
    <w:p w:rsidR="002A710B" w:rsidRPr="002A710B" w:rsidRDefault="002A710B" w:rsidP="002A710B">
      <w:pPr>
        <w:pStyle w:val="ListParagraph"/>
        <w:jc w:val="both"/>
        <w:rPr>
          <w:rFonts w:cstheme="minorHAnsi"/>
        </w:rPr>
      </w:pPr>
    </w:p>
    <w:p w:rsidR="002A710B" w:rsidRDefault="002A710B" w:rsidP="002A710B">
      <w:pPr>
        <w:rPr>
          <w:rFonts w:cstheme="minorHAnsi"/>
        </w:rPr>
      </w:pPr>
    </w:p>
    <w:p w:rsidR="00905580" w:rsidRDefault="00905580" w:rsidP="002A710B">
      <w:pPr>
        <w:rPr>
          <w:rFonts w:cstheme="minorHAnsi"/>
        </w:rPr>
      </w:pPr>
    </w:p>
    <w:p w:rsidR="00905580" w:rsidRDefault="00905580" w:rsidP="002A710B">
      <w:pPr>
        <w:rPr>
          <w:rFonts w:cstheme="minorHAnsi"/>
        </w:rPr>
      </w:pPr>
    </w:p>
    <w:p w:rsidR="00905580" w:rsidRDefault="00905580" w:rsidP="002A710B">
      <w:pPr>
        <w:rPr>
          <w:rFonts w:cstheme="minorHAnsi"/>
        </w:rPr>
      </w:pPr>
    </w:p>
    <w:p w:rsidR="00905580" w:rsidRDefault="00905580" w:rsidP="002A710B">
      <w:pPr>
        <w:rPr>
          <w:rFonts w:cstheme="minorHAnsi"/>
        </w:rPr>
      </w:pPr>
    </w:p>
    <w:p w:rsidR="00905580" w:rsidRDefault="00905580" w:rsidP="002A710B">
      <w:pPr>
        <w:rPr>
          <w:rFonts w:cstheme="minorHAnsi"/>
          <w:b/>
        </w:rPr>
      </w:pPr>
      <w:r>
        <w:rPr>
          <w:rFonts w:cstheme="minorHAnsi"/>
          <w:b/>
        </w:rPr>
        <w:t>OBRAZAC GI-FMC</w:t>
      </w:r>
    </w:p>
    <w:p w:rsidR="00905580" w:rsidRDefault="00905580" w:rsidP="002A710B">
      <w:pPr>
        <w:rPr>
          <w:rFonts w:cstheme="minorHAns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93"/>
        <w:gridCol w:w="971"/>
        <w:gridCol w:w="423"/>
        <w:gridCol w:w="26"/>
        <w:gridCol w:w="629"/>
        <w:gridCol w:w="1243"/>
        <w:gridCol w:w="381"/>
        <w:gridCol w:w="801"/>
        <w:gridCol w:w="267"/>
        <w:gridCol w:w="805"/>
        <w:gridCol w:w="233"/>
        <w:gridCol w:w="1899"/>
      </w:tblGrid>
      <w:tr w:rsidR="00905580" w:rsidRPr="00152F70" w:rsidTr="00056358">
        <w:tc>
          <w:tcPr>
            <w:tcW w:w="3287" w:type="dxa"/>
            <w:gridSpan w:val="3"/>
          </w:tcPr>
          <w:p w:rsidR="00905580" w:rsidRPr="00152F70" w:rsidRDefault="00152F7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DRUŠTVO</w:t>
            </w:r>
          </w:p>
        </w:tc>
        <w:tc>
          <w:tcPr>
            <w:tcW w:w="6284" w:type="dxa"/>
            <w:gridSpan w:val="9"/>
          </w:tcPr>
          <w:p w:rsidR="00905580" w:rsidRPr="00152F70" w:rsidRDefault="0090558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UPRAVITELJ-KNIN d.o.o.</w:t>
            </w:r>
          </w:p>
        </w:tc>
      </w:tr>
      <w:tr w:rsidR="00905580" w:rsidRPr="00152F70" w:rsidTr="00056358">
        <w:tc>
          <w:tcPr>
            <w:tcW w:w="3287" w:type="dxa"/>
            <w:gridSpan w:val="3"/>
          </w:tcPr>
          <w:p w:rsidR="00905580" w:rsidRPr="00152F70" w:rsidRDefault="0090558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URBROJ</w:t>
            </w:r>
          </w:p>
        </w:tc>
        <w:tc>
          <w:tcPr>
            <w:tcW w:w="6284" w:type="dxa"/>
            <w:gridSpan w:val="9"/>
          </w:tcPr>
          <w:p w:rsidR="00905580" w:rsidRPr="00152F70" w:rsidRDefault="00905580" w:rsidP="00927D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01-</w:t>
            </w:r>
            <w:r w:rsidR="00927D89">
              <w:rPr>
                <w:rFonts w:asciiTheme="minorHAnsi" w:hAnsiTheme="minorHAnsi" w:cstheme="minorHAnsi"/>
                <w:sz w:val="22"/>
                <w:szCs w:val="22"/>
              </w:rPr>
              <w:t>198/</w:t>
            </w: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27D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/03-</w:t>
            </w:r>
            <w:r w:rsidR="00927D89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</w:tr>
      <w:tr w:rsidR="00905580" w:rsidRPr="00152F70" w:rsidTr="00056358">
        <w:tc>
          <w:tcPr>
            <w:tcW w:w="3287" w:type="dxa"/>
            <w:gridSpan w:val="3"/>
          </w:tcPr>
          <w:p w:rsidR="00905580" w:rsidRPr="00152F70" w:rsidRDefault="0090558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</w:p>
        </w:tc>
        <w:tc>
          <w:tcPr>
            <w:tcW w:w="6284" w:type="dxa"/>
            <w:gridSpan w:val="9"/>
          </w:tcPr>
          <w:p w:rsidR="00905580" w:rsidRPr="00152F70" w:rsidRDefault="0090558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KNIN</w:t>
            </w:r>
          </w:p>
        </w:tc>
      </w:tr>
      <w:tr w:rsidR="00905580" w:rsidRPr="00152F70" w:rsidTr="00056358">
        <w:tc>
          <w:tcPr>
            <w:tcW w:w="3287" w:type="dxa"/>
            <w:gridSpan w:val="3"/>
          </w:tcPr>
          <w:p w:rsidR="00905580" w:rsidRPr="00152F70" w:rsidRDefault="0090558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6284" w:type="dxa"/>
            <w:gridSpan w:val="9"/>
          </w:tcPr>
          <w:p w:rsidR="00905580" w:rsidRPr="00152F70" w:rsidRDefault="00927D89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905580" w:rsidRPr="00152F70">
              <w:rPr>
                <w:rFonts w:asciiTheme="minorHAnsi" w:hAnsiTheme="minorHAnsi" w:cstheme="minorHAnsi"/>
                <w:sz w:val="22"/>
                <w:szCs w:val="22"/>
              </w:rPr>
              <w:t>.03.2020.</w:t>
            </w:r>
          </w:p>
        </w:tc>
      </w:tr>
      <w:tr w:rsidR="00152F70" w:rsidRPr="00152F70" w:rsidTr="004D7028">
        <w:tc>
          <w:tcPr>
            <w:tcW w:w="9571" w:type="dxa"/>
            <w:gridSpan w:val="12"/>
          </w:tcPr>
          <w:p w:rsidR="00152F70" w:rsidRPr="00152F70" w:rsidRDefault="00152F70" w:rsidP="00152F7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OPĆI DIO </w:t>
            </w:r>
          </w:p>
        </w:tc>
      </w:tr>
      <w:tr w:rsidR="00905580" w:rsidRPr="00152F70" w:rsidTr="004D7028">
        <w:tc>
          <w:tcPr>
            <w:tcW w:w="9571" w:type="dxa"/>
            <w:gridSpan w:val="12"/>
          </w:tcPr>
          <w:p w:rsidR="00905580" w:rsidRPr="00152F70" w:rsidRDefault="00152F70" w:rsidP="00152F7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b/>
                <w:sz w:val="22"/>
                <w:szCs w:val="22"/>
              </w:rPr>
              <w:t>OPĆI PODACI O DRUŠTVU</w:t>
            </w:r>
          </w:p>
        </w:tc>
      </w:tr>
      <w:tr w:rsidR="00152F70" w:rsidRPr="00152F70" w:rsidTr="00056358">
        <w:tc>
          <w:tcPr>
            <w:tcW w:w="3287" w:type="dxa"/>
            <w:gridSpan w:val="3"/>
          </w:tcPr>
          <w:p w:rsidR="00152F70" w:rsidRPr="00152F70" w:rsidRDefault="00152F7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Odgovorna osoba-direktor</w:t>
            </w:r>
          </w:p>
        </w:tc>
        <w:tc>
          <w:tcPr>
            <w:tcW w:w="6284" w:type="dxa"/>
            <w:gridSpan w:val="9"/>
          </w:tcPr>
          <w:p w:rsidR="00152F70" w:rsidRPr="00152F70" w:rsidRDefault="00152F7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JOSIP KAIĆ</w:t>
            </w:r>
          </w:p>
        </w:tc>
      </w:tr>
      <w:tr w:rsidR="00152F70" w:rsidRPr="00152F70" w:rsidTr="00056358">
        <w:tc>
          <w:tcPr>
            <w:tcW w:w="3287" w:type="dxa"/>
            <w:gridSpan w:val="3"/>
          </w:tcPr>
          <w:p w:rsidR="00152F70" w:rsidRPr="00152F70" w:rsidRDefault="00152F7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Ime i prezime voditelja za FMC</w:t>
            </w:r>
          </w:p>
        </w:tc>
        <w:tc>
          <w:tcPr>
            <w:tcW w:w="6284" w:type="dxa"/>
            <w:gridSpan w:val="9"/>
          </w:tcPr>
          <w:p w:rsidR="00152F70" w:rsidRPr="00152F70" w:rsidRDefault="00152F7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ZDENKA BATARILO</w:t>
            </w:r>
          </w:p>
        </w:tc>
      </w:tr>
      <w:tr w:rsidR="00152F70" w:rsidRPr="00152F70" w:rsidTr="00056358">
        <w:tc>
          <w:tcPr>
            <w:tcW w:w="3287" w:type="dxa"/>
            <w:gridSpan w:val="3"/>
          </w:tcPr>
          <w:p w:rsidR="00152F70" w:rsidRPr="00152F70" w:rsidRDefault="00152F7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Telefon: 022/646-281</w:t>
            </w:r>
          </w:p>
        </w:tc>
        <w:tc>
          <w:tcPr>
            <w:tcW w:w="6284" w:type="dxa"/>
            <w:gridSpan w:val="9"/>
          </w:tcPr>
          <w:p w:rsidR="00152F70" w:rsidRPr="00152F70" w:rsidRDefault="00152F7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F70">
              <w:rPr>
                <w:rFonts w:asciiTheme="minorHAnsi" w:hAnsiTheme="minorHAnsi" w:cstheme="minorHAnsi"/>
                <w:sz w:val="22"/>
                <w:szCs w:val="22"/>
              </w:rPr>
              <w:t>E-mail: financije@upravitelj-knin.hr</w:t>
            </w:r>
          </w:p>
        </w:tc>
      </w:tr>
      <w:tr w:rsidR="00152F70" w:rsidRPr="00152F70" w:rsidTr="004D7028">
        <w:tc>
          <w:tcPr>
            <w:tcW w:w="9571" w:type="dxa"/>
            <w:gridSpan w:val="12"/>
          </w:tcPr>
          <w:p w:rsidR="00152F70" w:rsidRPr="0006612D" w:rsidRDefault="00152F70" w:rsidP="00152F7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b/>
                <w:sz w:val="22"/>
                <w:szCs w:val="22"/>
              </w:rPr>
              <w:t>ORGANIZACIJSKA USPOSTAVA SUSTAVA FINANCIJSKOG UPRAVLJANJA I KONTROLA</w:t>
            </w:r>
          </w:p>
        </w:tc>
      </w:tr>
      <w:tr w:rsidR="00471A6D" w:rsidTr="00056358">
        <w:tc>
          <w:tcPr>
            <w:tcW w:w="6634" w:type="dxa"/>
            <w:gridSpan w:val="9"/>
          </w:tcPr>
          <w:p w:rsidR="00152F70" w:rsidRPr="0006612D" w:rsidRDefault="00152F70" w:rsidP="00152F70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>Je li imenovan voditelj za FMC</w:t>
            </w:r>
          </w:p>
        </w:tc>
        <w:tc>
          <w:tcPr>
            <w:tcW w:w="1038" w:type="dxa"/>
            <w:gridSpan w:val="2"/>
          </w:tcPr>
          <w:p w:rsidR="00152F70" w:rsidRPr="0006612D" w:rsidRDefault="00152F70" w:rsidP="00152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99" w:type="dxa"/>
          </w:tcPr>
          <w:p w:rsidR="00152F70" w:rsidRPr="0006612D" w:rsidRDefault="00152F70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F70" w:rsidTr="00056358">
        <w:tc>
          <w:tcPr>
            <w:tcW w:w="3313" w:type="dxa"/>
            <w:gridSpan w:val="4"/>
          </w:tcPr>
          <w:p w:rsidR="00152F70" w:rsidRPr="0006612D" w:rsidRDefault="00152F70" w:rsidP="00152F70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 xml:space="preserve">Ako je odgovor DA, navesti akt </w:t>
            </w:r>
          </w:p>
        </w:tc>
        <w:tc>
          <w:tcPr>
            <w:tcW w:w="2253" w:type="dxa"/>
            <w:gridSpan w:val="3"/>
          </w:tcPr>
          <w:p w:rsidR="00152F70" w:rsidRPr="0006612D" w:rsidRDefault="0006612D" w:rsidP="00152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 xml:space="preserve">Odluka o imenovanju </w:t>
            </w:r>
          </w:p>
        </w:tc>
        <w:tc>
          <w:tcPr>
            <w:tcW w:w="4005" w:type="dxa"/>
            <w:gridSpan w:val="5"/>
          </w:tcPr>
          <w:p w:rsidR="00152F70" w:rsidRPr="0006612D" w:rsidRDefault="0006612D" w:rsidP="00152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>01-1052/2019/12-31</w:t>
            </w:r>
          </w:p>
        </w:tc>
      </w:tr>
      <w:tr w:rsidR="00471A6D" w:rsidTr="00056358">
        <w:tc>
          <w:tcPr>
            <w:tcW w:w="6634" w:type="dxa"/>
            <w:gridSpan w:val="9"/>
          </w:tcPr>
          <w:p w:rsidR="0006612D" w:rsidRPr="0006612D" w:rsidRDefault="0006612D" w:rsidP="0006612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>Je li imenovana osoba zadužena za nepravilnosti</w:t>
            </w:r>
          </w:p>
        </w:tc>
        <w:tc>
          <w:tcPr>
            <w:tcW w:w="1038" w:type="dxa"/>
            <w:gridSpan w:val="2"/>
          </w:tcPr>
          <w:p w:rsidR="0006612D" w:rsidRPr="0006612D" w:rsidRDefault="0006612D" w:rsidP="00066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dxa"/>
          </w:tcPr>
          <w:p w:rsidR="0006612D" w:rsidRPr="0006612D" w:rsidRDefault="0006612D" w:rsidP="0006612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152F70" w:rsidTr="004D7028">
        <w:tc>
          <w:tcPr>
            <w:tcW w:w="9571" w:type="dxa"/>
            <w:gridSpan w:val="12"/>
          </w:tcPr>
          <w:p w:rsidR="00152F70" w:rsidRPr="0006612D" w:rsidRDefault="0006612D" w:rsidP="0006612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>Ako je odgovor DA, navesti akt*</w:t>
            </w:r>
          </w:p>
          <w:p w:rsidR="0006612D" w:rsidRPr="0006612D" w:rsidRDefault="0006612D" w:rsidP="0006612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>Upravitelj-Knin d.o.o. nije u obvezi imenovati osobu za nepravilnosti</w:t>
            </w:r>
          </w:p>
        </w:tc>
      </w:tr>
      <w:tr w:rsidR="00152F70" w:rsidTr="004D7028">
        <w:tc>
          <w:tcPr>
            <w:tcW w:w="9571" w:type="dxa"/>
            <w:gridSpan w:val="12"/>
          </w:tcPr>
          <w:p w:rsidR="00152F70" w:rsidRPr="0006612D" w:rsidRDefault="0006612D" w:rsidP="0006612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b/>
                <w:sz w:val="22"/>
                <w:szCs w:val="22"/>
              </w:rPr>
              <w:t>PRETHODNE (EX ANTE) KONT</w:t>
            </w:r>
            <w:r w:rsidR="007869B4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06612D">
              <w:rPr>
                <w:rFonts w:asciiTheme="minorHAnsi" w:hAnsiTheme="minorHAnsi" w:cstheme="minorHAnsi"/>
                <w:b/>
                <w:sz w:val="22"/>
                <w:szCs w:val="22"/>
              </w:rPr>
              <w:t>OLE</w:t>
            </w:r>
          </w:p>
        </w:tc>
      </w:tr>
      <w:tr w:rsidR="00FC72BF" w:rsidTr="00056358">
        <w:tc>
          <w:tcPr>
            <w:tcW w:w="6634" w:type="dxa"/>
            <w:gridSpan w:val="9"/>
          </w:tcPr>
          <w:p w:rsidR="0006612D" w:rsidRPr="0006612D" w:rsidRDefault="0006612D" w:rsidP="0006612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>Jeste li počeli s popisom i opisom poslovnih procesa</w:t>
            </w:r>
          </w:p>
        </w:tc>
        <w:tc>
          <w:tcPr>
            <w:tcW w:w="1038" w:type="dxa"/>
            <w:gridSpan w:val="2"/>
          </w:tcPr>
          <w:p w:rsidR="0006612D" w:rsidRPr="0006612D" w:rsidRDefault="0006612D" w:rsidP="0006612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 xml:space="preserve">     DA</w:t>
            </w:r>
          </w:p>
        </w:tc>
        <w:tc>
          <w:tcPr>
            <w:tcW w:w="1899" w:type="dxa"/>
          </w:tcPr>
          <w:p w:rsidR="0006612D" w:rsidRPr="0006612D" w:rsidRDefault="0006612D" w:rsidP="00066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F70" w:rsidTr="004D7028">
        <w:tc>
          <w:tcPr>
            <w:tcW w:w="9571" w:type="dxa"/>
            <w:gridSpan w:val="12"/>
          </w:tcPr>
          <w:p w:rsidR="00152F70" w:rsidRPr="0006612D" w:rsidRDefault="0006612D" w:rsidP="0006612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>Ako je odgovor NE, navesti obrazloženje</w:t>
            </w:r>
          </w:p>
        </w:tc>
      </w:tr>
      <w:tr w:rsidR="00FC72BF" w:rsidTr="00056358">
        <w:tc>
          <w:tcPr>
            <w:tcW w:w="6634" w:type="dxa"/>
            <w:gridSpan w:val="9"/>
          </w:tcPr>
          <w:p w:rsidR="0006612D" w:rsidRPr="0006612D" w:rsidRDefault="0006612D" w:rsidP="0006612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>Postoji li mapa poslovnih procesa u Društvu</w:t>
            </w:r>
          </w:p>
        </w:tc>
        <w:tc>
          <w:tcPr>
            <w:tcW w:w="1038" w:type="dxa"/>
            <w:gridSpan w:val="2"/>
          </w:tcPr>
          <w:p w:rsidR="0006612D" w:rsidRPr="0006612D" w:rsidRDefault="0006612D" w:rsidP="000661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12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99" w:type="dxa"/>
          </w:tcPr>
          <w:p w:rsidR="0006612D" w:rsidRPr="0006612D" w:rsidRDefault="0006612D" w:rsidP="00066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F70" w:rsidTr="004D7028">
        <w:tc>
          <w:tcPr>
            <w:tcW w:w="9571" w:type="dxa"/>
            <w:gridSpan w:val="12"/>
          </w:tcPr>
          <w:p w:rsidR="00152F70" w:rsidRPr="007869B4" w:rsidRDefault="0006612D" w:rsidP="0006612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69B4">
              <w:rPr>
                <w:rFonts w:asciiTheme="minorHAnsi" w:hAnsiTheme="minorHAnsi" w:cstheme="minorHAnsi"/>
                <w:sz w:val="22"/>
                <w:szCs w:val="22"/>
              </w:rPr>
              <w:t xml:space="preserve">Navedite podzakonske propise koji reguliraju poslovne procese </w:t>
            </w:r>
          </w:p>
          <w:p w:rsidR="0006612D" w:rsidRPr="007869B4" w:rsidRDefault="0006612D" w:rsidP="0006612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B4">
              <w:rPr>
                <w:rFonts w:asciiTheme="minorHAnsi" w:hAnsiTheme="minorHAnsi" w:cstheme="minorHAnsi"/>
                <w:sz w:val="22"/>
                <w:szCs w:val="22"/>
              </w:rPr>
              <w:t>Zakon o računovodstvu, Pravilnik o računovodstvu, Zakon o javnoj nabavi, Pravilnik o jednostavnoj nabavi, Zakon o radu, Pravilnik o unutarnjem ustrojstvu Upravitelja-Knin d.o.o.</w:t>
            </w:r>
          </w:p>
        </w:tc>
      </w:tr>
      <w:tr w:rsidR="00FC72BF" w:rsidTr="00056358">
        <w:tc>
          <w:tcPr>
            <w:tcW w:w="6634" w:type="dxa"/>
            <w:gridSpan w:val="9"/>
          </w:tcPr>
          <w:p w:rsidR="0006612D" w:rsidRPr="007869B4" w:rsidRDefault="0006612D" w:rsidP="0006612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69B4">
              <w:rPr>
                <w:rFonts w:asciiTheme="minorHAnsi" w:hAnsiTheme="minorHAnsi" w:cstheme="minorHAnsi"/>
                <w:sz w:val="22"/>
                <w:szCs w:val="22"/>
              </w:rPr>
              <w:t>Jesu li uspostavljene unutarnje kontrole u poslovnim procesima uzimajući u obzir najznačajnije rizike</w:t>
            </w:r>
          </w:p>
        </w:tc>
        <w:tc>
          <w:tcPr>
            <w:tcW w:w="1038" w:type="dxa"/>
            <w:gridSpan w:val="2"/>
          </w:tcPr>
          <w:p w:rsidR="0006612D" w:rsidRPr="007869B4" w:rsidRDefault="007869B4" w:rsidP="0006612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99" w:type="dxa"/>
          </w:tcPr>
          <w:p w:rsidR="0006612D" w:rsidRPr="007869B4" w:rsidRDefault="0006612D" w:rsidP="00066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F70" w:rsidRPr="007869B4" w:rsidTr="004D7028">
        <w:tc>
          <w:tcPr>
            <w:tcW w:w="9571" w:type="dxa"/>
            <w:gridSpan w:val="12"/>
          </w:tcPr>
          <w:p w:rsidR="00152F70" w:rsidRPr="007869B4" w:rsidRDefault="007869B4" w:rsidP="007869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69B4">
              <w:rPr>
                <w:rFonts w:asciiTheme="minorHAnsi" w:hAnsiTheme="minorHAnsi" w:cstheme="minorHAnsi"/>
                <w:b/>
                <w:sz w:val="22"/>
                <w:szCs w:val="22"/>
              </w:rPr>
              <w:t>NAKNADNE (EX POST) KONTROLE</w:t>
            </w:r>
          </w:p>
        </w:tc>
      </w:tr>
      <w:tr w:rsidR="00471A6D" w:rsidRPr="007869B4" w:rsidTr="00056358">
        <w:tc>
          <w:tcPr>
            <w:tcW w:w="6634" w:type="dxa"/>
            <w:gridSpan w:val="9"/>
          </w:tcPr>
          <w:p w:rsidR="007869B4" w:rsidRPr="007869B4" w:rsidRDefault="007869B4" w:rsidP="007869B4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69B4">
              <w:rPr>
                <w:rFonts w:asciiTheme="minorHAnsi" w:hAnsiTheme="minorHAnsi" w:cstheme="minorHAnsi"/>
                <w:sz w:val="22"/>
                <w:szCs w:val="22"/>
              </w:rPr>
              <w:t>Je li ustrojena naknadna kontrola</w:t>
            </w:r>
          </w:p>
        </w:tc>
        <w:tc>
          <w:tcPr>
            <w:tcW w:w="1038" w:type="dxa"/>
            <w:gridSpan w:val="2"/>
          </w:tcPr>
          <w:p w:rsidR="007869B4" w:rsidRPr="007869B4" w:rsidRDefault="007869B4" w:rsidP="007869B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dxa"/>
          </w:tcPr>
          <w:p w:rsidR="007869B4" w:rsidRPr="007869B4" w:rsidRDefault="007869B4" w:rsidP="007869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69B4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152F70" w:rsidRPr="007869B4" w:rsidTr="004D7028">
        <w:tc>
          <w:tcPr>
            <w:tcW w:w="9571" w:type="dxa"/>
            <w:gridSpan w:val="12"/>
          </w:tcPr>
          <w:p w:rsidR="00152F70" w:rsidRPr="007869B4" w:rsidRDefault="007869B4" w:rsidP="007869B4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69B4">
              <w:rPr>
                <w:rFonts w:asciiTheme="minorHAnsi" w:hAnsiTheme="minorHAnsi" w:cstheme="minorHAnsi"/>
                <w:sz w:val="22"/>
                <w:szCs w:val="22"/>
              </w:rPr>
              <w:t xml:space="preserve">Ako je odgovor NE, navesti obrazloženje </w:t>
            </w:r>
          </w:p>
          <w:p w:rsidR="007869B4" w:rsidRPr="007869B4" w:rsidRDefault="007869B4" w:rsidP="007869B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B4">
              <w:rPr>
                <w:rFonts w:asciiTheme="minorHAnsi" w:hAnsiTheme="minorHAnsi" w:cstheme="minorHAnsi"/>
                <w:sz w:val="22"/>
                <w:szCs w:val="22"/>
              </w:rPr>
              <w:t>Radi relativno maloga broja zaposlenika, njihovih kompentecije i obučenosti u području FMC-a, nije moguće kvalitetno provesti naknadne kontrole, niti postoji potreba za isto.</w:t>
            </w:r>
          </w:p>
        </w:tc>
      </w:tr>
      <w:tr w:rsidR="007869B4" w:rsidTr="004D7028">
        <w:trPr>
          <w:trHeight w:val="70"/>
        </w:trPr>
        <w:tc>
          <w:tcPr>
            <w:tcW w:w="9571" w:type="dxa"/>
            <w:gridSpan w:val="12"/>
          </w:tcPr>
          <w:p w:rsidR="007869B4" w:rsidRPr="007869B4" w:rsidRDefault="007869B4" w:rsidP="007869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69B4">
              <w:rPr>
                <w:rFonts w:asciiTheme="minorHAnsi" w:hAnsiTheme="minorHAnsi" w:cstheme="minorHAnsi"/>
                <w:b/>
                <w:sz w:val="22"/>
                <w:szCs w:val="22"/>
              </w:rPr>
              <w:t>POSEBNI DIO</w:t>
            </w:r>
          </w:p>
        </w:tc>
      </w:tr>
      <w:tr w:rsidR="007869B4" w:rsidTr="004D7028">
        <w:tc>
          <w:tcPr>
            <w:tcW w:w="9571" w:type="dxa"/>
            <w:gridSpan w:val="12"/>
          </w:tcPr>
          <w:p w:rsidR="007869B4" w:rsidRPr="007869B4" w:rsidRDefault="007869B4" w:rsidP="002A7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UPITNIK O SAMOPROCJENI FINANCIJSKOG UPRAVLJANJA I KONTROLA</w:t>
            </w:r>
          </w:p>
        </w:tc>
      </w:tr>
      <w:tr w:rsidR="00FC72BF" w:rsidTr="00056358">
        <w:tc>
          <w:tcPr>
            <w:tcW w:w="189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UPITNIK</w:t>
            </w:r>
          </w:p>
        </w:tc>
        <w:tc>
          <w:tcPr>
            <w:tcW w:w="971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DA-u većem dijelu</w:t>
            </w:r>
          </w:p>
        </w:tc>
        <w:tc>
          <w:tcPr>
            <w:tcW w:w="124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DA-u pojedinim područjima</w:t>
            </w:r>
          </w:p>
        </w:tc>
        <w:tc>
          <w:tcPr>
            <w:tcW w:w="118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NE-uvedene su početne aktivnosti</w:t>
            </w:r>
          </w:p>
        </w:tc>
        <w:tc>
          <w:tcPr>
            <w:tcW w:w="107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213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Ako ste dali potvrdan odgovor, navesti dokaz</w:t>
            </w:r>
          </w:p>
        </w:tc>
      </w:tr>
      <w:tr w:rsidR="00FC72BF" w:rsidTr="00056358">
        <w:tc>
          <w:tcPr>
            <w:tcW w:w="189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 xml:space="preserve">Broj bodova </w:t>
            </w:r>
          </w:p>
        </w:tc>
        <w:tc>
          <w:tcPr>
            <w:tcW w:w="971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78" w:type="dxa"/>
            <w:gridSpan w:val="3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7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028" w:rsidTr="00C27C87">
        <w:tc>
          <w:tcPr>
            <w:tcW w:w="9571" w:type="dxa"/>
            <w:gridSpan w:val="1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b/>
                <w:sz w:val="22"/>
                <w:szCs w:val="22"/>
              </w:rPr>
              <w:t>KONTROLNO OKRUŽENJE</w:t>
            </w:r>
          </w:p>
        </w:tc>
      </w:tr>
      <w:tr w:rsidR="00FC72BF" w:rsidTr="00056358">
        <w:tc>
          <w:tcPr>
            <w:tcW w:w="1893" w:type="dxa"/>
          </w:tcPr>
          <w:p w:rsidR="004D7028" w:rsidRPr="00471A6D" w:rsidRDefault="004D7028" w:rsidP="004D7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Postoji li postupak koji osigurava upoznavanje svih zaposlenika s etičkim kodeksom ?</w:t>
            </w:r>
          </w:p>
        </w:tc>
        <w:tc>
          <w:tcPr>
            <w:tcW w:w="971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Etički kodeks stavljen na Oglasnu ploču</w:t>
            </w:r>
          </w:p>
        </w:tc>
      </w:tr>
      <w:tr w:rsidR="00FC72BF" w:rsidTr="00056358">
        <w:tc>
          <w:tcPr>
            <w:tcW w:w="189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Obvezuju li se svi zaposlenici da će postupiti u skladu s etičkim kodeksom ?</w:t>
            </w:r>
          </w:p>
        </w:tc>
        <w:tc>
          <w:tcPr>
            <w:tcW w:w="971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Sadržaj etičkog kodeksa</w:t>
            </w:r>
          </w:p>
        </w:tc>
      </w:tr>
      <w:tr w:rsidR="00FC72BF" w:rsidTr="00056358">
        <w:tc>
          <w:tcPr>
            <w:tcW w:w="189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Postoje li mjerila za utvrđivanje uspješnosti kadrovske politike i da ih se redovito prati ?</w:t>
            </w:r>
          </w:p>
        </w:tc>
        <w:tc>
          <w:tcPr>
            <w:tcW w:w="971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213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2BF" w:rsidTr="00056358">
        <w:tc>
          <w:tcPr>
            <w:tcW w:w="189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Je li čelnik uvjeren da su upravljanje rizicima, unutarnja kontrola korisni procesi koji značajno doprinosi ostvarenju ciljeva ?</w:t>
            </w:r>
          </w:p>
        </w:tc>
        <w:tc>
          <w:tcPr>
            <w:tcW w:w="971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471A6D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Donesen sustav upravljanja rizicima</w:t>
            </w:r>
          </w:p>
        </w:tc>
      </w:tr>
      <w:tr w:rsidR="00FC72BF" w:rsidTr="00056358">
        <w:tc>
          <w:tcPr>
            <w:tcW w:w="1893" w:type="dxa"/>
          </w:tcPr>
          <w:p w:rsidR="004D7028" w:rsidRPr="00471A6D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Je li važna imovina zaštićena od neovlaštenog pristupa i upotrebe ?</w:t>
            </w:r>
          </w:p>
        </w:tc>
        <w:tc>
          <w:tcPr>
            <w:tcW w:w="971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4D7028" w:rsidRPr="00471A6D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24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471A6D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Osiguranje, brave, lozinke i sl.</w:t>
            </w:r>
          </w:p>
        </w:tc>
      </w:tr>
      <w:tr w:rsidR="00FC72BF" w:rsidTr="00056358">
        <w:tc>
          <w:tcPr>
            <w:tcW w:w="1893" w:type="dxa"/>
          </w:tcPr>
          <w:p w:rsidR="004D7028" w:rsidRPr="00471A6D" w:rsidRDefault="00471A6D" w:rsidP="00927D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Je li Društvo uspostavilo obvezu redovnog izvješćivanja o stanju na području upravljanja rizic</w:t>
            </w:r>
            <w:r w:rsidR="00927D8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 xml:space="preserve">ma, unutarnje kontrole ? </w:t>
            </w:r>
          </w:p>
        </w:tc>
        <w:tc>
          <w:tcPr>
            <w:tcW w:w="971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4D7028" w:rsidRPr="00471A6D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243" w:type="dxa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471A6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471A6D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sz w:val="22"/>
                <w:szCs w:val="22"/>
              </w:rPr>
              <w:t>Obveza izvješćivanja o prijavljenim i/ili uočenim nepravilnostima</w:t>
            </w:r>
          </w:p>
        </w:tc>
      </w:tr>
      <w:tr w:rsidR="00471A6D" w:rsidTr="00056358">
        <w:tc>
          <w:tcPr>
            <w:tcW w:w="7439" w:type="dxa"/>
            <w:gridSpan w:val="10"/>
          </w:tcPr>
          <w:p w:rsidR="00471A6D" w:rsidRPr="00471A6D" w:rsidRDefault="00471A6D" w:rsidP="002A7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UKUPAN BROJ BODOVA- KONTROLNO OKRUŽENJE </w:t>
            </w:r>
          </w:p>
        </w:tc>
        <w:tc>
          <w:tcPr>
            <w:tcW w:w="2132" w:type="dxa"/>
            <w:gridSpan w:val="2"/>
          </w:tcPr>
          <w:p w:rsidR="00471A6D" w:rsidRPr="00471A6D" w:rsidRDefault="00471A6D" w:rsidP="00471A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A6D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</w:tr>
      <w:tr w:rsidR="00471A6D" w:rsidTr="00B21B8B">
        <w:tc>
          <w:tcPr>
            <w:tcW w:w="9571" w:type="dxa"/>
            <w:gridSpan w:val="12"/>
          </w:tcPr>
          <w:p w:rsidR="00471A6D" w:rsidRPr="00471A6D" w:rsidRDefault="00471A6D" w:rsidP="002A7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UPRAVLJANJE RIZICIMA</w:t>
            </w:r>
          </w:p>
        </w:tc>
      </w:tr>
      <w:tr w:rsidR="00FC72BF" w:rsidTr="00056358">
        <w:tc>
          <w:tcPr>
            <w:tcW w:w="1893" w:type="dxa"/>
          </w:tcPr>
          <w:p w:rsidR="004D7028" w:rsidRPr="00B9067B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>Ima li Društvo utvrđene i zapisane dugoročne ciljeve poslovanja ?</w:t>
            </w:r>
          </w:p>
        </w:tc>
        <w:tc>
          <w:tcPr>
            <w:tcW w:w="971" w:type="dxa"/>
          </w:tcPr>
          <w:p w:rsidR="004D7028" w:rsidRPr="00B9067B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B9067B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>Strateški plan</w:t>
            </w:r>
          </w:p>
        </w:tc>
      </w:tr>
      <w:tr w:rsidR="00FC72BF" w:rsidTr="00056358">
        <w:tc>
          <w:tcPr>
            <w:tcW w:w="1893" w:type="dxa"/>
          </w:tcPr>
          <w:p w:rsidR="004D7028" w:rsidRPr="00B9067B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 xml:space="preserve">Jesu li zaposlenici </w:t>
            </w:r>
            <w:r w:rsidRPr="00B906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upoznati s dugoročnim i kratkoročnim ciljevima Društva</w:t>
            </w:r>
          </w:p>
        </w:tc>
        <w:tc>
          <w:tcPr>
            <w:tcW w:w="971" w:type="dxa"/>
          </w:tcPr>
          <w:p w:rsidR="004D7028" w:rsidRPr="00B9067B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</w:t>
            </w:r>
          </w:p>
        </w:tc>
        <w:tc>
          <w:tcPr>
            <w:tcW w:w="1078" w:type="dxa"/>
            <w:gridSpan w:val="3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B9067B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 xml:space="preserve">Objava Strateškog </w:t>
            </w:r>
            <w:r w:rsidRPr="00B906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plana na Oglasnoj ploči </w:t>
            </w:r>
          </w:p>
        </w:tc>
      </w:tr>
      <w:tr w:rsidR="00FC72BF" w:rsidTr="00056358">
        <w:tc>
          <w:tcPr>
            <w:tcW w:w="1893" w:type="dxa"/>
          </w:tcPr>
          <w:p w:rsidR="004D7028" w:rsidRPr="00B9067B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Prati li se redovito ostvarenje ciljeva i analiziraju li se uzroci mogućih odstupanja </w:t>
            </w:r>
            <w:r w:rsidR="00B9067B" w:rsidRPr="00B9067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71" w:type="dxa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B9067B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</w:p>
        </w:tc>
        <w:tc>
          <w:tcPr>
            <w:tcW w:w="1182" w:type="dxa"/>
            <w:gridSpan w:val="2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B9067B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 xml:space="preserve">Ostvarenje se prati najviše u financijama kao zadnjem odredištu poslovanja, i to na mjesećnoj razini-utvrđuju se rashodi i prihodi kao pokazatelji poslovanja </w:t>
            </w:r>
          </w:p>
        </w:tc>
      </w:tr>
      <w:tr w:rsidR="00FC72BF" w:rsidTr="00056358">
        <w:tc>
          <w:tcPr>
            <w:tcW w:w="1893" w:type="dxa"/>
          </w:tcPr>
          <w:p w:rsidR="004D7028" w:rsidRPr="00B9067B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>Jesu li utvrđeni rizici</w:t>
            </w:r>
            <w:r w:rsidR="00B9067B" w:rsidRPr="00B9067B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971" w:type="dxa"/>
          </w:tcPr>
          <w:p w:rsidR="004D7028" w:rsidRPr="00B9067B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B9067B" w:rsidRDefault="00471A6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>Odluka o ustrojstvu rizika</w:t>
            </w:r>
          </w:p>
        </w:tc>
      </w:tr>
      <w:tr w:rsidR="00FC72BF" w:rsidTr="00056358">
        <w:tc>
          <w:tcPr>
            <w:tcW w:w="1893" w:type="dxa"/>
          </w:tcPr>
          <w:p w:rsidR="004D7028" w:rsidRPr="00B9067B" w:rsidRDefault="00B9067B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>Jesu li rizici ocjenjeni ?</w:t>
            </w:r>
          </w:p>
        </w:tc>
        <w:tc>
          <w:tcPr>
            <w:tcW w:w="971" w:type="dxa"/>
          </w:tcPr>
          <w:p w:rsidR="004D7028" w:rsidRPr="00B9067B" w:rsidRDefault="00B9067B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</w:p>
        </w:tc>
        <w:tc>
          <w:tcPr>
            <w:tcW w:w="1078" w:type="dxa"/>
            <w:gridSpan w:val="3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B9067B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B9067B" w:rsidRDefault="00B9067B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sz w:val="22"/>
                <w:szCs w:val="22"/>
              </w:rPr>
              <w:t xml:space="preserve">Upitnik za utvrđivanje rizika </w:t>
            </w:r>
          </w:p>
        </w:tc>
      </w:tr>
      <w:tr w:rsidR="00B9067B" w:rsidTr="00056358">
        <w:tc>
          <w:tcPr>
            <w:tcW w:w="7439" w:type="dxa"/>
            <w:gridSpan w:val="10"/>
          </w:tcPr>
          <w:p w:rsidR="00B9067B" w:rsidRPr="00B9067B" w:rsidRDefault="00B9067B" w:rsidP="002A7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b/>
                <w:sz w:val="22"/>
                <w:szCs w:val="22"/>
              </w:rPr>
              <w:t>UKUPAN BROJ BODOVA-UPRAVLJANJE RIZICIMA</w:t>
            </w:r>
          </w:p>
        </w:tc>
        <w:tc>
          <w:tcPr>
            <w:tcW w:w="2132" w:type="dxa"/>
            <w:gridSpan w:val="2"/>
          </w:tcPr>
          <w:p w:rsidR="00B9067B" w:rsidRPr="00B9067B" w:rsidRDefault="00B9067B" w:rsidP="002A7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</w:tr>
      <w:tr w:rsidR="00B9067B" w:rsidTr="008E0279">
        <w:tc>
          <w:tcPr>
            <w:tcW w:w="9571" w:type="dxa"/>
            <w:gridSpan w:val="12"/>
          </w:tcPr>
          <w:p w:rsidR="00B9067B" w:rsidRPr="00B9067B" w:rsidRDefault="00B9067B" w:rsidP="002A7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6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KONTROLNE AKTIVNOSTI </w:t>
            </w:r>
          </w:p>
        </w:tc>
      </w:tr>
      <w:tr w:rsidR="00FC72BF" w:rsidTr="00056358">
        <w:tc>
          <w:tcPr>
            <w:tcW w:w="1893" w:type="dxa"/>
          </w:tcPr>
          <w:p w:rsidR="004D7028" w:rsidRPr="006869ED" w:rsidRDefault="00B9067B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Jesu li za poslovne procese pripremljeni detaljni opisi postupaka s određenim smjerom protoka dokumenata, mjestima odlučivanja, uspostavljenim unutarnjim kontrolama ?</w:t>
            </w:r>
          </w:p>
        </w:tc>
        <w:tc>
          <w:tcPr>
            <w:tcW w:w="971" w:type="dxa"/>
          </w:tcPr>
          <w:p w:rsidR="004D7028" w:rsidRPr="006869ED" w:rsidRDefault="00B9067B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6869ED" w:rsidRDefault="00B9067B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Dijagrami tijeka poslovnih procesa</w:t>
            </w:r>
          </w:p>
        </w:tc>
      </w:tr>
      <w:tr w:rsidR="00FC72BF" w:rsidTr="00056358">
        <w:tc>
          <w:tcPr>
            <w:tcW w:w="1893" w:type="dxa"/>
          </w:tcPr>
          <w:p w:rsidR="004D7028" w:rsidRPr="006869ED" w:rsidRDefault="00B9067B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Jesu li detaljno propisani radni postupci i jesu li na odgovarajući način dostupni svim zaposlenicima ?</w:t>
            </w:r>
          </w:p>
        </w:tc>
        <w:tc>
          <w:tcPr>
            <w:tcW w:w="971" w:type="dxa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4D7028" w:rsidRPr="006869ED" w:rsidRDefault="00B9067B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243" w:type="dxa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6869ED" w:rsidRDefault="00B9067B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Donesene su i uručene vlasnicima procesa opisi procesa sa dijagramima tijeka</w:t>
            </w:r>
          </w:p>
        </w:tc>
      </w:tr>
      <w:tr w:rsidR="00FC72BF" w:rsidTr="00056358">
        <w:tc>
          <w:tcPr>
            <w:tcW w:w="1893" w:type="dxa"/>
          </w:tcPr>
          <w:p w:rsidR="004D7028" w:rsidRPr="006869ED" w:rsidRDefault="00B9067B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 xml:space="preserve">Postoje li operativne pisane upute za rad za sve postupke ? </w:t>
            </w:r>
          </w:p>
        </w:tc>
        <w:tc>
          <w:tcPr>
            <w:tcW w:w="971" w:type="dxa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4D7028" w:rsidRPr="006869ED" w:rsidRDefault="00B9067B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243" w:type="dxa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6869ED" w:rsidRDefault="00B9067B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Mape procesa, poslovni procesi, dijagrami tijeka</w:t>
            </w:r>
          </w:p>
        </w:tc>
      </w:tr>
      <w:tr w:rsidR="00FC72BF" w:rsidTr="00056358">
        <w:tc>
          <w:tcPr>
            <w:tcW w:w="1893" w:type="dxa"/>
          </w:tcPr>
          <w:p w:rsidR="004D7028" w:rsidRPr="006869ED" w:rsidRDefault="00B9067B" w:rsidP="006869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Sadrže li upute i opise unut</w:t>
            </w:r>
            <w:r w:rsidR="006869ED" w:rsidRPr="006869E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rnjih kontrola</w:t>
            </w:r>
          </w:p>
        </w:tc>
        <w:tc>
          <w:tcPr>
            <w:tcW w:w="971" w:type="dxa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182" w:type="dxa"/>
            <w:gridSpan w:val="2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 xml:space="preserve">Za poslovne procese doneseni su rizici, a unutarnja kontrola </w:t>
            </w:r>
            <w:r w:rsidRPr="006869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provodi se pregledom voditelja službi i čelnika</w:t>
            </w:r>
          </w:p>
        </w:tc>
      </w:tr>
      <w:tr w:rsidR="00FC72BF" w:rsidTr="00056358">
        <w:tc>
          <w:tcPr>
            <w:tcW w:w="1893" w:type="dxa"/>
          </w:tcPr>
          <w:p w:rsidR="004D7028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Razdvajanje dužnosti: je li osigurano da ista osoba ne obavlja dvije ili više sljedećih dužnosti: predlaganje, odobrenje, provedbu i evidentiranje poslovnog događaja ?</w:t>
            </w:r>
          </w:p>
        </w:tc>
        <w:tc>
          <w:tcPr>
            <w:tcW w:w="971" w:type="dxa"/>
          </w:tcPr>
          <w:p w:rsidR="004D7028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Ugovor o radu, Sistematizacija radnih mjesta, poslovni procesi, dijagram tijeka poslovnih procesa</w:t>
            </w:r>
          </w:p>
        </w:tc>
      </w:tr>
      <w:tr w:rsidR="00FC72BF" w:rsidTr="00056358">
        <w:tc>
          <w:tcPr>
            <w:tcW w:w="1893" w:type="dxa"/>
          </w:tcPr>
          <w:p w:rsidR="004D7028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Jesu li akti, radni postupci i organizacijske sheme ažurirani ?</w:t>
            </w:r>
          </w:p>
        </w:tc>
        <w:tc>
          <w:tcPr>
            <w:tcW w:w="971" w:type="dxa"/>
          </w:tcPr>
          <w:p w:rsidR="004D7028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</w:p>
        </w:tc>
        <w:tc>
          <w:tcPr>
            <w:tcW w:w="1078" w:type="dxa"/>
            <w:gridSpan w:val="3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4D7028" w:rsidRPr="006869ED" w:rsidRDefault="004D702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D7028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Pravilnik o radu, Ažurirani radni postupci na kraju godine</w:t>
            </w:r>
          </w:p>
        </w:tc>
      </w:tr>
      <w:tr w:rsidR="006869ED" w:rsidTr="00056358">
        <w:tc>
          <w:tcPr>
            <w:tcW w:w="1893" w:type="dxa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Je li osigurana kontrola pristupa podacima i evidencijama ?</w:t>
            </w:r>
          </w:p>
        </w:tc>
        <w:tc>
          <w:tcPr>
            <w:tcW w:w="971" w:type="dxa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Podaci i evidencije zaštićeni su lozinkama na računalu, a papirnati oblik se drži u zaključanim odjelima (ormari, ladice)</w:t>
            </w:r>
          </w:p>
        </w:tc>
      </w:tr>
      <w:tr w:rsidR="006869ED" w:rsidTr="00056358">
        <w:tc>
          <w:tcPr>
            <w:tcW w:w="1893" w:type="dxa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Jesu li određeni i provode li se postupci kojima čelnik provjerava provođenje kontrolnih aktivnosti ?</w:t>
            </w:r>
          </w:p>
        </w:tc>
        <w:tc>
          <w:tcPr>
            <w:tcW w:w="971" w:type="dxa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182" w:type="dxa"/>
            <w:gridSpan w:val="2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6869ED" w:rsidRPr="006869ED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ED">
              <w:rPr>
                <w:rFonts w:asciiTheme="minorHAnsi" w:hAnsiTheme="minorHAnsi" w:cstheme="minorHAnsi"/>
                <w:sz w:val="22"/>
                <w:szCs w:val="22"/>
              </w:rPr>
              <w:t xml:space="preserve">Određeni su i provode se u određenim područjima: financije gdje se dnevno podnose usmena izvješća, za svaku transakciju traži se pismeno odobrenje i sl. </w:t>
            </w:r>
          </w:p>
        </w:tc>
      </w:tr>
      <w:tr w:rsidR="00E14B24" w:rsidTr="00056358">
        <w:tc>
          <w:tcPr>
            <w:tcW w:w="7439" w:type="dxa"/>
            <w:gridSpan w:val="10"/>
          </w:tcPr>
          <w:p w:rsidR="00E14B24" w:rsidRPr="00E14B24" w:rsidRDefault="00E14B24" w:rsidP="002A7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4B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UKUPAN BROJ BODOVA-KONTROLNE AKTIVNOSTI </w:t>
            </w:r>
          </w:p>
        </w:tc>
        <w:tc>
          <w:tcPr>
            <w:tcW w:w="2132" w:type="dxa"/>
            <w:gridSpan w:val="2"/>
          </w:tcPr>
          <w:p w:rsidR="00E14B24" w:rsidRPr="00E14B24" w:rsidRDefault="00E14B24" w:rsidP="00E14B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</w:tr>
      <w:tr w:rsidR="00E14B24" w:rsidTr="004E778B">
        <w:tc>
          <w:tcPr>
            <w:tcW w:w="9571" w:type="dxa"/>
            <w:gridSpan w:val="12"/>
          </w:tcPr>
          <w:p w:rsidR="00E14B24" w:rsidRPr="00E14B24" w:rsidRDefault="00E14B24" w:rsidP="002A7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4B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INFORMACIJE I KOMUNIKACIJA </w:t>
            </w:r>
          </w:p>
        </w:tc>
      </w:tr>
      <w:tr w:rsidR="006869ED" w:rsidTr="00056358">
        <w:tc>
          <w:tcPr>
            <w:tcW w:w="1893" w:type="dxa"/>
          </w:tcPr>
          <w:p w:rsidR="006869ED" w:rsidRPr="00FC72BF" w:rsidRDefault="00FC72BF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BF">
              <w:rPr>
                <w:rFonts w:asciiTheme="minorHAnsi" w:hAnsiTheme="minorHAnsi" w:cstheme="minorHAnsi"/>
                <w:sz w:val="22"/>
                <w:szCs w:val="22"/>
              </w:rPr>
              <w:t>Omogućuje li informacijski sustav praćenje postavljenih ciljeva i provođenje učinkovitog nadzora nad poslovanjem ?</w:t>
            </w:r>
          </w:p>
        </w:tc>
        <w:tc>
          <w:tcPr>
            <w:tcW w:w="971" w:type="dxa"/>
          </w:tcPr>
          <w:p w:rsidR="006869ED" w:rsidRPr="00FC72BF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6869ED" w:rsidRPr="00FC72BF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6869ED" w:rsidRPr="00FC72BF" w:rsidRDefault="00FC72BF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BF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</w:p>
        </w:tc>
        <w:tc>
          <w:tcPr>
            <w:tcW w:w="1182" w:type="dxa"/>
            <w:gridSpan w:val="2"/>
          </w:tcPr>
          <w:p w:rsidR="006869ED" w:rsidRPr="00FC72BF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6869ED" w:rsidRPr="00FC72BF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6869ED" w:rsidRPr="00FC72BF" w:rsidRDefault="00FC72BF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BF">
              <w:rPr>
                <w:rFonts w:asciiTheme="minorHAnsi" w:hAnsiTheme="minorHAnsi" w:cstheme="minorHAnsi"/>
                <w:sz w:val="22"/>
                <w:szCs w:val="22"/>
              </w:rPr>
              <w:t>Knjigovodstveni program</w:t>
            </w:r>
          </w:p>
        </w:tc>
      </w:tr>
      <w:tr w:rsidR="006869ED" w:rsidTr="00056358">
        <w:tc>
          <w:tcPr>
            <w:tcW w:w="1893" w:type="dxa"/>
          </w:tcPr>
          <w:p w:rsidR="006869ED" w:rsidRPr="00FC72BF" w:rsidRDefault="00FC72BF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 li osiguran uspješan i učinkovit sustav pisane elektronske i usmene komunikacije, koji omogućuje zaposlenicima dobivanje informacija potrebnih za obavljanje poslova ?</w:t>
            </w:r>
          </w:p>
        </w:tc>
        <w:tc>
          <w:tcPr>
            <w:tcW w:w="971" w:type="dxa"/>
          </w:tcPr>
          <w:p w:rsidR="006869ED" w:rsidRPr="00FC72BF" w:rsidRDefault="00FC72BF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BF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</w:p>
        </w:tc>
        <w:tc>
          <w:tcPr>
            <w:tcW w:w="1078" w:type="dxa"/>
            <w:gridSpan w:val="3"/>
          </w:tcPr>
          <w:p w:rsidR="006869ED" w:rsidRPr="00FC72BF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6869ED" w:rsidRPr="00FC72BF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6869ED" w:rsidRPr="00FC72BF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6869ED" w:rsidRPr="00FC72BF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6869ED" w:rsidRPr="00FC72BF" w:rsidRDefault="00FC72BF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BF">
              <w:rPr>
                <w:rFonts w:asciiTheme="minorHAnsi" w:hAnsiTheme="minorHAnsi" w:cstheme="minorHAnsi"/>
                <w:sz w:val="22"/>
                <w:szCs w:val="22"/>
              </w:rPr>
              <w:t>Mail dopisivanje, narudžbenice, radni nalozi</w:t>
            </w:r>
          </w:p>
        </w:tc>
      </w:tr>
      <w:tr w:rsidR="006869ED" w:rsidTr="00056358">
        <w:tc>
          <w:tcPr>
            <w:tcW w:w="1893" w:type="dxa"/>
          </w:tcPr>
          <w:p w:rsidR="006869ED" w:rsidRPr="00FC72BF" w:rsidRDefault="00FC72BF" w:rsidP="00FC7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BF">
              <w:rPr>
                <w:rFonts w:asciiTheme="minorHAnsi" w:hAnsiTheme="minorHAnsi" w:cstheme="minorHAnsi"/>
                <w:sz w:val="22"/>
                <w:szCs w:val="22"/>
              </w:rPr>
              <w:t>Je li uspostavljen proces prikupljanja i dokumentiranja pogrešaka ili pritužbi za njihovu analizu, utvrđivanje uzroka i otklanjanje problema koji se mogu i ponavljati u budućnosti ?</w:t>
            </w:r>
          </w:p>
        </w:tc>
        <w:tc>
          <w:tcPr>
            <w:tcW w:w="971" w:type="dxa"/>
          </w:tcPr>
          <w:p w:rsidR="006869ED" w:rsidRPr="00FC72BF" w:rsidRDefault="00FC72BF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BF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</w:p>
        </w:tc>
        <w:tc>
          <w:tcPr>
            <w:tcW w:w="1078" w:type="dxa"/>
            <w:gridSpan w:val="3"/>
          </w:tcPr>
          <w:p w:rsidR="006869ED" w:rsidRPr="00FC72BF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6869ED" w:rsidRPr="00FC72BF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6869ED" w:rsidRPr="00FC72BF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6869ED" w:rsidRPr="00FC72BF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6869ED" w:rsidRPr="00FC72BF" w:rsidRDefault="00FC72BF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BF">
              <w:rPr>
                <w:rFonts w:asciiTheme="minorHAnsi" w:hAnsiTheme="minorHAnsi" w:cstheme="minorHAnsi"/>
                <w:sz w:val="22"/>
                <w:szCs w:val="22"/>
              </w:rPr>
              <w:t xml:space="preserve">Izvješće o prijavljenim/uočenim nepravilnostima </w:t>
            </w:r>
          </w:p>
        </w:tc>
      </w:tr>
      <w:tr w:rsidR="006869ED" w:rsidTr="00056358">
        <w:tc>
          <w:tcPr>
            <w:tcW w:w="1893" w:type="dxa"/>
          </w:tcPr>
          <w:p w:rsidR="006869ED" w:rsidRPr="00056358" w:rsidRDefault="0005635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358">
              <w:rPr>
                <w:rFonts w:asciiTheme="minorHAnsi" w:hAnsiTheme="minorHAnsi" w:cstheme="minorHAnsi"/>
                <w:sz w:val="22"/>
                <w:szCs w:val="22"/>
              </w:rPr>
              <w:t>Kod IT sustava, postoji li odgovarajuća kopija podataka (backup), procedure za planiranje oporavaka od katastrofa te da li su one testirane u praksi</w:t>
            </w:r>
          </w:p>
        </w:tc>
        <w:tc>
          <w:tcPr>
            <w:tcW w:w="971" w:type="dxa"/>
          </w:tcPr>
          <w:p w:rsidR="006869ED" w:rsidRPr="00056358" w:rsidRDefault="0005635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3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6869ED" w:rsidRPr="00056358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6869ED" w:rsidRPr="00056358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6869ED" w:rsidRPr="00056358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6869ED" w:rsidRPr="00056358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6869ED" w:rsidRPr="00056358" w:rsidRDefault="0005635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358">
              <w:rPr>
                <w:rFonts w:asciiTheme="minorHAnsi" w:hAnsiTheme="minorHAnsi" w:cstheme="minorHAnsi"/>
                <w:sz w:val="22"/>
                <w:szCs w:val="22"/>
              </w:rPr>
              <w:t>Zaštita cloud</w:t>
            </w:r>
          </w:p>
        </w:tc>
      </w:tr>
      <w:tr w:rsidR="006869ED" w:rsidTr="00056358">
        <w:tc>
          <w:tcPr>
            <w:tcW w:w="1893" w:type="dxa"/>
          </w:tcPr>
          <w:p w:rsidR="006869ED" w:rsidRPr="00056358" w:rsidRDefault="0005635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358">
              <w:rPr>
                <w:rFonts w:asciiTheme="minorHAnsi" w:hAnsiTheme="minorHAnsi" w:cstheme="minorHAnsi"/>
                <w:sz w:val="22"/>
                <w:szCs w:val="22"/>
              </w:rPr>
              <w:t>Je li zaposlenicima omogućeno izvješćivanje o mogućim nepravilnostima i problemima ?</w:t>
            </w:r>
          </w:p>
        </w:tc>
        <w:tc>
          <w:tcPr>
            <w:tcW w:w="971" w:type="dxa"/>
          </w:tcPr>
          <w:p w:rsidR="006869ED" w:rsidRPr="00056358" w:rsidRDefault="0005635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3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6869ED" w:rsidRPr="00056358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6869ED" w:rsidRPr="00056358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6869ED" w:rsidRPr="00056358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6869ED" w:rsidRPr="00056358" w:rsidRDefault="006869ED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6869ED" w:rsidRPr="00056358" w:rsidRDefault="00056358" w:rsidP="002A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358">
              <w:rPr>
                <w:rFonts w:asciiTheme="minorHAnsi" w:hAnsiTheme="minorHAnsi" w:cstheme="minorHAnsi"/>
                <w:sz w:val="22"/>
                <w:szCs w:val="22"/>
              </w:rPr>
              <w:t xml:space="preserve">Usmene i/ili pismene prijave, anonimne prijave i sl. temeljem Pravilnika o unutarnjem prijavljivanju nepravilnosti </w:t>
            </w:r>
          </w:p>
        </w:tc>
      </w:tr>
      <w:tr w:rsidR="00056358" w:rsidTr="00056358">
        <w:trPr>
          <w:trHeight w:val="470"/>
        </w:trPr>
        <w:tc>
          <w:tcPr>
            <w:tcW w:w="7439" w:type="dxa"/>
            <w:gridSpan w:val="10"/>
          </w:tcPr>
          <w:p w:rsidR="00056358" w:rsidRPr="00056358" w:rsidRDefault="00056358" w:rsidP="002A7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UKUPAN BROJ BODOVA-INFORMACIJE I KOMUNIKACIJA </w:t>
            </w:r>
          </w:p>
        </w:tc>
        <w:tc>
          <w:tcPr>
            <w:tcW w:w="2132" w:type="dxa"/>
            <w:gridSpan w:val="2"/>
          </w:tcPr>
          <w:p w:rsidR="00056358" w:rsidRPr="00056358" w:rsidRDefault="00056358" w:rsidP="002A7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358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</w:tr>
      <w:tr w:rsidR="00056358" w:rsidRPr="00056358" w:rsidTr="005C6CE1">
        <w:tc>
          <w:tcPr>
            <w:tcW w:w="9571" w:type="dxa"/>
            <w:gridSpan w:val="12"/>
          </w:tcPr>
          <w:p w:rsidR="00056358" w:rsidRPr="00056358" w:rsidRDefault="00056358" w:rsidP="002B78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PRAĆENJE I PROCJENA </w:t>
            </w:r>
          </w:p>
        </w:tc>
      </w:tr>
      <w:tr w:rsidR="00056358" w:rsidRPr="00056358" w:rsidTr="002B782D">
        <w:tc>
          <w:tcPr>
            <w:tcW w:w="1893" w:type="dxa"/>
          </w:tcPr>
          <w:p w:rsidR="00056358" w:rsidRPr="00056358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 li uspostavljena struktura izvješćivanja koja osigurava objektivnost i neovisnost unutarnje revizije ?</w:t>
            </w:r>
          </w:p>
        </w:tc>
        <w:tc>
          <w:tcPr>
            <w:tcW w:w="971" w:type="dxa"/>
          </w:tcPr>
          <w:p w:rsidR="00056358" w:rsidRPr="00056358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056358" w:rsidRPr="00056358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056358" w:rsidRPr="00056358" w:rsidRDefault="00620B77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182" w:type="dxa"/>
            <w:gridSpan w:val="2"/>
          </w:tcPr>
          <w:p w:rsidR="00056358" w:rsidRPr="00056358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056358" w:rsidRPr="00056358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056358" w:rsidRPr="00056358" w:rsidRDefault="00620B77" w:rsidP="00620B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Struktura izvješćivanja uspostavljena je najviše u sektoru računovodstva i financija kao odjelu najvećeg rizika: izvješće se o naplati potraživanja, stanju računa, mjesečnom planu prihoda i rashoda, te Završni račun.</w:t>
            </w:r>
          </w:p>
        </w:tc>
      </w:tr>
      <w:tr w:rsidR="00056358" w:rsidRPr="00056358" w:rsidTr="002B782D">
        <w:tc>
          <w:tcPr>
            <w:tcW w:w="1893" w:type="dxa"/>
          </w:tcPr>
          <w:p w:rsidR="00056358" w:rsidRPr="00056358" w:rsidRDefault="00620B77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Reagira li čelnik primjereno na preporuke unutarnje revizije ?</w:t>
            </w:r>
          </w:p>
        </w:tc>
        <w:tc>
          <w:tcPr>
            <w:tcW w:w="971" w:type="dxa"/>
          </w:tcPr>
          <w:p w:rsidR="00056358" w:rsidRPr="00056358" w:rsidRDefault="00620B77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</w:p>
        </w:tc>
        <w:tc>
          <w:tcPr>
            <w:tcW w:w="1078" w:type="dxa"/>
            <w:gridSpan w:val="3"/>
          </w:tcPr>
          <w:p w:rsidR="00056358" w:rsidRPr="00056358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056358" w:rsidRPr="00056358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056358" w:rsidRPr="00056358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056358" w:rsidRPr="00056358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056358" w:rsidRPr="00056358" w:rsidRDefault="00620B77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Prati izvršavanje planiranih prihoda i rashoda, u cilju ekonomičnosti poslovanja i održivosti Društva.</w:t>
            </w:r>
          </w:p>
        </w:tc>
      </w:tr>
      <w:tr w:rsidR="00056358" w:rsidRPr="00056358" w:rsidTr="002B782D">
        <w:tc>
          <w:tcPr>
            <w:tcW w:w="1893" w:type="dxa"/>
          </w:tcPr>
          <w:p w:rsidR="00056358" w:rsidRPr="00620B77" w:rsidRDefault="00620B77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B77">
              <w:rPr>
                <w:rFonts w:asciiTheme="minorHAnsi" w:hAnsiTheme="minorHAnsi" w:cstheme="minorHAnsi"/>
                <w:sz w:val="22"/>
                <w:szCs w:val="22"/>
              </w:rPr>
              <w:t>Postoji li praćenje preporuka vanjskih i unutarnjih revizora za poboljšanje u sustavu unutarnjih kontrola ?</w:t>
            </w:r>
          </w:p>
        </w:tc>
        <w:tc>
          <w:tcPr>
            <w:tcW w:w="971" w:type="dxa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056358" w:rsidRPr="00620B77" w:rsidRDefault="00620B77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B7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2132" w:type="dxa"/>
            <w:gridSpan w:val="2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358" w:rsidRPr="00056358" w:rsidTr="002B782D">
        <w:tc>
          <w:tcPr>
            <w:tcW w:w="1893" w:type="dxa"/>
          </w:tcPr>
          <w:p w:rsidR="00056358" w:rsidRPr="00620B77" w:rsidRDefault="00620B77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B77">
              <w:rPr>
                <w:rFonts w:asciiTheme="minorHAnsi" w:hAnsiTheme="minorHAnsi" w:cstheme="minorHAnsi"/>
                <w:sz w:val="22"/>
                <w:szCs w:val="22"/>
              </w:rPr>
              <w:t>Postoje li radni priručnici koji jasno opisuju što se treba provoditi i tko je osoba za kontakt u slučaju otkrivanja nedostataka kontrola ?</w:t>
            </w:r>
          </w:p>
        </w:tc>
        <w:tc>
          <w:tcPr>
            <w:tcW w:w="971" w:type="dxa"/>
          </w:tcPr>
          <w:p w:rsidR="00056358" w:rsidRPr="00620B77" w:rsidRDefault="00620B77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B77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056358" w:rsidRPr="00620B77" w:rsidRDefault="00620B77" w:rsidP="00620B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B77">
              <w:rPr>
                <w:rFonts w:asciiTheme="minorHAnsi" w:hAnsiTheme="minorHAnsi" w:cstheme="minorHAnsi"/>
                <w:sz w:val="22"/>
                <w:szCs w:val="22"/>
              </w:rPr>
              <w:t>Pravilnik o unutarnjem prijavljivanju nepravilnosti</w:t>
            </w:r>
            <w:r w:rsidR="00D85613">
              <w:rPr>
                <w:rFonts w:asciiTheme="minorHAnsi" w:hAnsiTheme="minorHAnsi" w:cstheme="minorHAnsi"/>
                <w:sz w:val="22"/>
                <w:szCs w:val="22"/>
              </w:rPr>
              <w:t>, Radna uputa za prijavljivanje i rješavanje nepravilnosti</w:t>
            </w:r>
          </w:p>
        </w:tc>
      </w:tr>
      <w:tr w:rsidR="00056358" w:rsidRPr="00056358" w:rsidTr="002B782D">
        <w:tc>
          <w:tcPr>
            <w:tcW w:w="1893" w:type="dxa"/>
          </w:tcPr>
          <w:p w:rsidR="00056358" w:rsidRPr="00620B77" w:rsidRDefault="00620B77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B77">
              <w:rPr>
                <w:rFonts w:asciiTheme="minorHAnsi" w:hAnsiTheme="minorHAnsi" w:cstheme="minorHAnsi"/>
                <w:sz w:val="22"/>
                <w:szCs w:val="22"/>
              </w:rPr>
              <w:t>Jesu li uspostavljene procedure da se te upute provode u praksi i da se ažuriraju ?</w:t>
            </w:r>
          </w:p>
        </w:tc>
        <w:tc>
          <w:tcPr>
            <w:tcW w:w="971" w:type="dxa"/>
          </w:tcPr>
          <w:p w:rsidR="00056358" w:rsidRPr="00620B77" w:rsidRDefault="00620B77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B77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078" w:type="dxa"/>
            <w:gridSpan w:val="3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gridSpan w:val="2"/>
          </w:tcPr>
          <w:p w:rsidR="00056358" w:rsidRPr="00620B77" w:rsidRDefault="00056358" w:rsidP="002B7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056358" w:rsidRPr="00620B77" w:rsidRDefault="00620B77" w:rsidP="00620B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B77">
              <w:rPr>
                <w:rFonts w:asciiTheme="minorHAnsi" w:hAnsiTheme="minorHAnsi" w:cstheme="minorHAnsi"/>
                <w:sz w:val="22"/>
                <w:szCs w:val="22"/>
              </w:rPr>
              <w:t>Pravilnik o unutarnjem prijavljivanju nepravilnosti</w:t>
            </w:r>
            <w:r w:rsidR="00D85613">
              <w:rPr>
                <w:rFonts w:asciiTheme="minorHAnsi" w:hAnsiTheme="minorHAnsi" w:cstheme="minorHAnsi"/>
                <w:sz w:val="22"/>
                <w:szCs w:val="22"/>
              </w:rPr>
              <w:t>, Radna uputa za prijavljivanje i rješavanje nepravilnosti</w:t>
            </w:r>
          </w:p>
        </w:tc>
      </w:tr>
      <w:tr w:rsidR="00620B77" w:rsidRPr="00056358" w:rsidTr="00620B77">
        <w:tc>
          <w:tcPr>
            <w:tcW w:w="7439" w:type="dxa"/>
            <w:gridSpan w:val="10"/>
          </w:tcPr>
          <w:p w:rsidR="00620B77" w:rsidRPr="00620B77" w:rsidRDefault="00620B77" w:rsidP="002B78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B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UKUPAN BROJ BODOVA-PRAĆENJE I PROCJENA </w:t>
            </w:r>
          </w:p>
        </w:tc>
        <w:tc>
          <w:tcPr>
            <w:tcW w:w="2132" w:type="dxa"/>
            <w:gridSpan w:val="2"/>
          </w:tcPr>
          <w:p w:rsidR="00620B77" w:rsidRPr="00620B77" w:rsidRDefault="00620B77" w:rsidP="00620B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B77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</w:tr>
      <w:tr w:rsidR="00620B77" w:rsidRPr="00056358" w:rsidTr="00620B77">
        <w:tc>
          <w:tcPr>
            <w:tcW w:w="7439" w:type="dxa"/>
            <w:gridSpan w:val="10"/>
          </w:tcPr>
          <w:p w:rsidR="00620B77" w:rsidRPr="003519ED" w:rsidRDefault="00620B77" w:rsidP="002B78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SVEUKUPAN BROJ BODOVA </w:t>
            </w:r>
          </w:p>
        </w:tc>
        <w:tc>
          <w:tcPr>
            <w:tcW w:w="2132" w:type="dxa"/>
            <w:gridSpan w:val="2"/>
          </w:tcPr>
          <w:p w:rsidR="00620B77" w:rsidRPr="003519ED" w:rsidRDefault="003519ED" w:rsidP="00620B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9ED">
              <w:rPr>
                <w:rFonts w:asciiTheme="minorHAnsi" w:hAnsiTheme="minorHAnsi" w:cstheme="minorHAnsi"/>
                <w:b/>
                <w:sz w:val="22"/>
                <w:szCs w:val="22"/>
              </w:rPr>
              <w:t>123</w:t>
            </w:r>
          </w:p>
        </w:tc>
      </w:tr>
    </w:tbl>
    <w:p w:rsidR="00905580" w:rsidRDefault="00905580" w:rsidP="002A710B">
      <w:pPr>
        <w:rPr>
          <w:rFonts w:cstheme="minorHAnsi"/>
        </w:rPr>
      </w:pPr>
    </w:p>
    <w:p w:rsidR="003519ED" w:rsidRDefault="003519ED" w:rsidP="002A710B">
      <w:pPr>
        <w:rPr>
          <w:rFonts w:cstheme="minorHAnsi"/>
        </w:rPr>
      </w:pPr>
    </w:p>
    <w:p w:rsidR="003519ED" w:rsidRDefault="00D85613" w:rsidP="00D85613">
      <w:pPr>
        <w:jc w:val="both"/>
        <w:rPr>
          <w:rFonts w:cstheme="minorHAnsi"/>
        </w:rPr>
      </w:pPr>
      <w:r>
        <w:rPr>
          <w:rFonts w:cstheme="minorHAnsi"/>
        </w:rPr>
        <w:t xml:space="preserve">Pravilnikom o radu Upravitelja-Knin d.o.o. (u daljnjem tekstu Društvo)  kojeg je donio direktor, među ostalim, opisani su osnovni poslovi zaposlenika te uvjeti potrebni za njihovo obavljanje. </w:t>
      </w:r>
    </w:p>
    <w:p w:rsidR="00D85613" w:rsidRDefault="00D85613" w:rsidP="00D85613">
      <w:pPr>
        <w:jc w:val="both"/>
        <w:rPr>
          <w:rFonts w:cstheme="minorHAnsi"/>
        </w:rPr>
      </w:pPr>
      <w:r>
        <w:rPr>
          <w:rFonts w:cstheme="minorHAnsi"/>
        </w:rPr>
        <w:t>Poslovni procesi koji proizlaze iz djelokruga poslovanja Društva nalaze se i naznačeni su navedenom dokumentu te možemo reći da su glavni, upravljački i provedbeni procesi Društva na neki način i opisani.</w:t>
      </w:r>
    </w:p>
    <w:p w:rsidR="00D85613" w:rsidRDefault="00D85613" w:rsidP="00D85613">
      <w:pPr>
        <w:jc w:val="both"/>
        <w:rPr>
          <w:rFonts w:cstheme="minorHAnsi"/>
        </w:rPr>
      </w:pPr>
      <w:r>
        <w:rPr>
          <w:rFonts w:cstheme="minorHAnsi"/>
        </w:rPr>
        <w:t>Aktivnosti koje se odnose na proces nabave detaljno su propisane Zakonom o javnoj nabavi (Narodne novine 117/01, 197/03, 92/05, 120/16) i u njihovom provođenju u potpun</w:t>
      </w:r>
      <w:r w:rsidR="00927D89">
        <w:rPr>
          <w:rFonts w:cstheme="minorHAnsi"/>
        </w:rPr>
        <w:t>os</w:t>
      </w:r>
      <w:r>
        <w:rPr>
          <w:rFonts w:cstheme="minorHAnsi"/>
        </w:rPr>
        <w:t>ti se pridržavamo zakonskih odredbi kao i odredbi Uredbe o postupku nabave roba, radova i usluga male vrijednosti.</w:t>
      </w:r>
    </w:p>
    <w:p w:rsidR="00E3157B" w:rsidRDefault="00D85613" w:rsidP="00E3157B">
      <w:pPr>
        <w:jc w:val="both"/>
        <w:rPr>
          <w:rFonts w:cstheme="minorHAnsi"/>
        </w:rPr>
      </w:pPr>
      <w:r>
        <w:rPr>
          <w:rFonts w:cstheme="minorHAnsi"/>
        </w:rPr>
        <w:t>U skladu s odredbama Zakona, direktor je imenovao voditelja za FMC, a osobu za nepravilnosti nismo obvezni imenovati budući da ne zapo</w:t>
      </w:r>
      <w:r w:rsidR="00E3157B">
        <w:rPr>
          <w:rFonts w:cstheme="minorHAnsi"/>
        </w:rPr>
        <w:t xml:space="preserve">šljavamo više od 50 zaposlenika, ali su doneseni Pravilnik o </w:t>
      </w:r>
      <w:r w:rsidR="00E3157B" w:rsidRPr="00620B77">
        <w:rPr>
          <w:rFonts w:cstheme="minorHAnsi"/>
        </w:rPr>
        <w:t xml:space="preserve"> unutarnjem prijavljivanju nepravilnosti</w:t>
      </w:r>
      <w:r w:rsidR="00E3157B">
        <w:rPr>
          <w:rFonts w:cstheme="minorHAnsi"/>
        </w:rPr>
        <w:t xml:space="preserve"> i  Radna uputa za prijavljivanje i rješavanje nepravilnosti, prema kojima će se zaprimati obavijesti o nepravilnostima i sumnjama na prijevaru ili samostalno poduzimati radnje protiv nepravilnosti i prijevara. </w:t>
      </w:r>
    </w:p>
    <w:p w:rsidR="00E3157B" w:rsidRDefault="00E3157B" w:rsidP="00E3157B">
      <w:pPr>
        <w:jc w:val="both"/>
        <w:rPr>
          <w:rFonts w:cstheme="minorHAnsi"/>
        </w:rPr>
      </w:pPr>
      <w:r>
        <w:rPr>
          <w:rFonts w:cstheme="minorHAnsi"/>
        </w:rPr>
        <w:t>Na temelju Upitnika o samoprocjeni FMC-a, procijenjene su pojedine komponente FMC-a i to svaka posebno kako slijedi:</w:t>
      </w:r>
    </w:p>
    <w:p w:rsidR="00E3157B" w:rsidRDefault="00E3157B" w:rsidP="00E3157B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Kontrolno okruženje</w:t>
      </w:r>
      <w:r>
        <w:rPr>
          <w:rFonts w:cstheme="minorHAnsi"/>
        </w:rPr>
        <w:tab/>
      </w:r>
      <w:r>
        <w:rPr>
          <w:rFonts w:cstheme="minorHAnsi"/>
        </w:rPr>
        <w:tab/>
        <w:t>24 boda</w:t>
      </w:r>
    </w:p>
    <w:p w:rsidR="00E3157B" w:rsidRDefault="00E3157B" w:rsidP="00E3157B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Upravljanje rizicima</w:t>
      </w:r>
      <w:r>
        <w:rPr>
          <w:rFonts w:cstheme="minorHAnsi"/>
        </w:rPr>
        <w:tab/>
      </w:r>
      <w:r>
        <w:rPr>
          <w:rFonts w:cstheme="minorHAnsi"/>
        </w:rPr>
        <w:tab/>
        <w:t>23 boda</w:t>
      </w:r>
    </w:p>
    <w:p w:rsidR="00E3157B" w:rsidRDefault="00E3157B" w:rsidP="00E3157B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Kontrolne aktivnosti </w:t>
      </w:r>
      <w:r>
        <w:rPr>
          <w:rFonts w:cstheme="minorHAnsi"/>
        </w:rPr>
        <w:tab/>
      </w:r>
      <w:r>
        <w:rPr>
          <w:rFonts w:cstheme="minorHAnsi"/>
        </w:rPr>
        <w:tab/>
        <w:t>34 boda</w:t>
      </w:r>
    </w:p>
    <w:p w:rsidR="00E3157B" w:rsidRDefault="00E3157B" w:rsidP="00E3157B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Informacije i komunikacije</w:t>
      </w:r>
      <w:r>
        <w:rPr>
          <w:rFonts w:cstheme="minorHAnsi"/>
        </w:rPr>
        <w:tab/>
      </w:r>
      <w:r>
        <w:rPr>
          <w:rFonts w:cstheme="minorHAnsi"/>
        </w:rPr>
        <w:tab/>
        <w:t>23 boda</w:t>
      </w:r>
    </w:p>
    <w:p w:rsidR="00E3157B" w:rsidRDefault="00E3157B" w:rsidP="00E3157B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Praćenje i procjena sustava</w:t>
      </w:r>
      <w:r>
        <w:rPr>
          <w:rFonts w:cstheme="minorHAnsi"/>
        </w:rPr>
        <w:tab/>
      </w:r>
      <w:r>
        <w:rPr>
          <w:rFonts w:cstheme="minorHAnsi"/>
        </w:rPr>
        <w:tab/>
        <w:t>19 bodova</w:t>
      </w:r>
    </w:p>
    <w:p w:rsidR="00927D89" w:rsidRDefault="00927D89" w:rsidP="00E3157B">
      <w:pPr>
        <w:jc w:val="both"/>
        <w:rPr>
          <w:rFonts w:cstheme="minorHAnsi"/>
        </w:rPr>
      </w:pPr>
    </w:p>
    <w:p w:rsidR="00E3157B" w:rsidRDefault="00E3157B" w:rsidP="00E3157B">
      <w:pPr>
        <w:jc w:val="both"/>
        <w:rPr>
          <w:rFonts w:cstheme="minorHAnsi"/>
        </w:rPr>
      </w:pPr>
      <w:r>
        <w:rPr>
          <w:rFonts w:cstheme="minorHAnsi"/>
        </w:rPr>
        <w:t>Ukupno je sustav FMC-a bodovan s 123 boda, što je u odnosu na broj mogućih bodova (140) i više nego povoljno, a svakako treba i dalje poduzimati aktivnosti na poboljšanju ovog sustava.</w:t>
      </w:r>
    </w:p>
    <w:p w:rsidR="00E3157B" w:rsidRDefault="00E3157B" w:rsidP="00E3157B">
      <w:pPr>
        <w:jc w:val="both"/>
        <w:rPr>
          <w:rFonts w:cstheme="minorHAnsi"/>
        </w:rPr>
      </w:pPr>
      <w:r>
        <w:rPr>
          <w:rFonts w:cstheme="minorHAnsi"/>
        </w:rPr>
        <w:t xml:space="preserve">Upravitelj-Knin d.o.o. donijelo je i Izjavu o viziji kojom se opisuje što Društvo želi ostvariti, odnosno postići dugoročno, dok se misijom određuje glavni razlog razlog postojanja i djelovanja. </w:t>
      </w:r>
    </w:p>
    <w:p w:rsidR="00E3157B" w:rsidRDefault="00E3157B" w:rsidP="00E3157B">
      <w:pPr>
        <w:jc w:val="both"/>
        <w:rPr>
          <w:rFonts w:cstheme="minorHAnsi"/>
        </w:rPr>
      </w:pPr>
      <w:r>
        <w:rPr>
          <w:rFonts w:cstheme="minorHAnsi"/>
        </w:rPr>
        <w:t>Planirane su i izvršene sljedeće aktivnosti uspostave i razvoja financijskog upravljanja i kontrola:</w:t>
      </w:r>
    </w:p>
    <w:p w:rsidR="00E3157B" w:rsidRPr="00E3157B" w:rsidRDefault="00E3157B" w:rsidP="00570C4A">
      <w:pPr>
        <w:pStyle w:val="ListParagraph"/>
        <w:numPr>
          <w:ilvl w:val="0"/>
          <w:numId w:val="16"/>
        </w:numPr>
        <w:spacing w:after="0" w:line="240" w:lineRule="auto"/>
      </w:pPr>
      <w:r w:rsidRPr="00E3157B">
        <w:t>imenovanje</w:t>
      </w:r>
      <w:r w:rsidR="00CE4E05">
        <w:t xml:space="preserve"> voditelja i koordinatora za FMC</w:t>
      </w:r>
    </w:p>
    <w:p w:rsidR="00E3157B" w:rsidRPr="00E3157B" w:rsidRDefault="00E3157B" w:rsidP="00570C4A">
      <w:pPr>
        <w:pStyle w:val="ListParagraph"/>
        <w:numPr>
          <w:ilvl w:val="0"/>
          <w:numId w:val="16"/>
        </w:numPr>
        <w:spacing w:after="0" w:line="240" w:lineRule="auto"/>
      </w:pPr>
      <w:r w:rsidRPr="00E3157B">
        <w:t>prip</w:t>
      </w:r>
      <w:r w:rsidR="00CE4E05">
        <w:t>rema plana uspostave sustava FMC</w:t>
      </w:r>
    </w:p>
    <w:p w:rsidR="00E3157B" w:rsidRPr="00E3157B" w:rsidRDefault="00E3157B" w:rsidP="00570C4A">
      <w:pPr>
        <w:pStyle w:val="ListParagraph"/>
        <w:numPr>
          <w:ilvl w:val="0"/>
          <w:numId w:val="16"/>
        </w:numPr>
        <w:spacing w:after="0" w:line="240" w:lineRule="auto"/>
      </w:pPr>
      <w:r w:rsidRPr="00E3157B">
        <w:t>sastavljanje izjave o misiji i ključnim poslovnim procesima (temelj organizacijska struktura i/ili pravilnik o unutarnjem ustrojstvu i</w:t>
      </w:r>
      <w:r w:rsidR="00CE4E05">
        <w:t xml:space="preserve"> sistematizaciji radnih mjesta U</w:t>
      </w:r>
      <w:r w:rsidRPr="00E3157B">
        <w:t>pravitelja-knin d.o.o.)</w:t>
      </w:r>
    </w:p>
    <w:p w:rsidR="00E3157B" w:rsidRPr="00E3157B" w:rsidRDefault="00E3157B" w:rsidP="00570C4A">
      <w:pPr>
        <w:pStyle w:val="ListParagraph"/>
        <w:numPr>
          <w:ilvl w:val="0"/>
          <w:numId w:val="16"/>
        </w:numPr>
        <w:spacing w:after="0" w:line="240" w:lineRule="auto"/>
      </w:pPr>
      <w:r w:rsidRPr="00E3157B">
        <w:t>popis poslovnih procesa  s opisom</w:t>
      </w:r>
    </w:p>
    <w:p w:rsidR="00E3157B" w:rsidRPr="00E3157B" w:rsidRDefault="00E3157B" w:rsidP="00570C4A">
      <w:pPr>
        <w:pStyle w:val="ListParagraph"/>
        <w:numPr>
          <w:ilvl w:val="0"/>
          <w:numId w:val="16"/>
        </w:numPr>
        <w:spacing w:after="0" w:line="240" w:lineRule="auto"/>
      </w:pPr>
      <w:r w:rsidRPr="00E3157B">
        <w:t xml:space="preserve">popisivanje poslovnih procesa u knjigu/mapu  procesa </w:t>
      </w:r>
    </w:p>
    <w:p w:rsidR="00E3157B" w:rsidRPr="00E3157B" w:rsidRDefault="00E3157B" w:rsidP="00570C4A">
      <w:pPr>
        <w:pStyle w:val="ListParagraph"/>
        <w:numPr>
          <w:ilvl w:val="0"/>
          <w:numId w:val="16"/>
        </w:numPr>
        <w:spacing w:after="0" w:line="240" w:lineRule="auto"/>
      </w:pPr>
      <w:r w:rsidRPr="00E3157B">
        <w:t>utvrđivanje rizika</w:t>
      </w:r>
    </w:p>
    <w:p w:rsidR="00E3157B" w:rsidRPr="00E3157B" w:rsidRDefault="00E3157B" w:rsidP="00570C4A">
      <w:pPr>
        <w:pStyle w:val="ListParagraph"/>
        <w:numPr>
          <w:ilvl w:val="0"/>
          <w:numId w:val="16"/>
        </w:numPr>
        <w:spacing w:after="0" w:line="240" w:lineRule="auto"/>
      </w:pPr>
      <w:r w:rsidRPr="00E3157B">
        <w:t>procjena 5 komponenata unutarnje kontrole</w:t>
      </w:r>
    </w:p>
    <w:p w:rsidR="00E3157B" w:rsidRPr="00E3157B" w:rsidRDefault="00E3157B" w:rsidP="00570C4A">
      <w:pPr>
        <w:pStyle w:val="ListParagraph"/>
        <w:numPr>
          <w:ilvl w:val="0"/>
          <w:numId w:val="16"/>
        </w:numPr>
        <w:spacing w:after="0" w:line="240" w:lineRule="auto"/>
      </w:pPr>
      <w:r w:rsidRPr="00E3157B">
        <w:t>pregled uspostavljenih kontrola</w:t>
      </w:r>
    </w:p>
    <w:p w:rsidR="00E3157B" w:rsidRPr="00E3157B" w:rsidRDefault="00E3157B" w:rsidP="00570C4A">
      <w:pPr>
        <w:pStyle w:val="ListParagraph"/>
        <w:numPr>
          <w:ilvl w:val="0"/>
          <w:numId w:val="16"/>
        </w:numPr>
        <w:spacing w:after="0" w:line="240" w:lineRule="auto"/>
      </w:pPr>
      <w:r w:rsidRPr="00E3157B">
        <w:t>analiza postojećih i potrebnih kontrola</w:t>
      </w:r>
    </w:p>
    <w:p w:rsidR="00570C4A" w:rsidRDefault="00CE4E05" w:rsidP="00570C4A">
      <w:pPr>
        <w:pStyle w:val="ListParagraph"/>
        <w:numPr>
          <w:ilvl w:val="0"/>
          <w:numId w:val="16"/>
        </w:numPr>
        <w:spacing w:after="0" w:line="240" w:lineRule="auto"/>
      </w:pPr>
      <w:r>
        <w:t>plan za otklanjenje slabosti FMC</w:t>
      </w:r>
    </w:p>
    <w:p w:rsidR="00E3157B" w:rsidRDefault="00E3157B" w:rsidP="00570C4A">
      <w:pPr>
        <w:pStyle w:val="ListParagraph"/>
        <w:numPr>
          <w:ilvl w:val="0"/>
          <w:numId w:val="16"/>
        </w:numPr>
        <w:spacing w:after="0" w:line="240" w:lineRule="auto"/>
      </w:pPr>
      <w:r w:rsidRPr="00E3157B">
        <w:lastRenderedPageBreak/>
        <w:t>praćenje izvršenja plana za prethodnu godinu temeljem izjave o fiskalnoj odgovornosti i upitnika o fiskalnoj</w:t>
      </w:r>
      <w:r w:rsidR="00570C4A">
        <w:t xml:space="preserve">. </w:t>
      </w:r>
    </w:p>
    <w:p w:rsidR="00570C4A" w:rsidRDefault="00570C4A" w:rsidP="00570C4A">
      <w:pPr>
        <w:pStyle w:val="ListParagraph"/>
        <w:spacing w:after="0" w:line="240" w:lineRule="auto"/>
      </w:pPr>
    </w:p>
    <w:p w:rsidR="00570C4A" w:rsidRDefault="00570C4A" w:rsidP="00570C4A">
      <w:pPr>
        <w:pStyle w:val="ListParagraph"/>
        <w:spacing w:after="0" w:line="240" w:lineRule="auto"/>
      </w:pPr>
    </w:p>
    <w:p w:rsidR="00570C4A" w:rsidRDefault="00570C4A" w:rsidP="00570C4A">
      <w:pPr>
        <w:pStyle w:val="ListParagraph"/>
        <w:spacing w:after="0" w:line="240" w:lineRule="auto"/>
      </w:pPr>
    </w:p>
    <w:p w:rsidR="00CE4E05" w:rsidRPr="00E3157B" w:rsidRDefault="00CE4E05" w:rsidP="00CE4E05">
      <w:pPr>
        <w:spacing w:after="0" w:line="240" w:lineRule="auto"/>
        <w:jc w:val="both"/>
      </w:pPr>
      <w:r>
        <w:t>Što se tiče praćenja izvršenja plana temeljem izjave o fiskalnoj odgovornosti, ista je donesena te je sastavljen Upitnik o fiskalnoj odgovornosti za 20</w:t>
      </w:r>
      <w:r w:rsidR="00927D89">
        <w:t>20</w:t>
      </w:r>
      <w:r>
        <w:t xml:space="preserve">. godinu kao sastavni dio Izjave, a </w:t>
      </w:r>
      <w:r w:rsidR="00927D89">
        <w:t xml:space="preserve">nisu </w:t>
      </w:r>
      <w:r>
        <w:t xml:space="preserve">uočene </w:t>
      </w:r>
      <w:r w:rsidR="00927D89">
        <w:t>s</w:t>
      </w:r>
      <w:r>
        <w:t>labosti i nepravilnosti koje mogu utjecati na zakonito, namjensko i svrhovito korištenje sredstava</w:t>
      </w:r>
      <w:r w:rsidR="00927D89">
        <w:t>.</w:t>
      </w:r>
      <w:r>
        <w:t xml:space="preserve"> </w:t>
      </w:r>
    </w:p>
    <w:p w:rsidR="00CE4E05" w:rsidRDefault="00CE4E05" w:rsidP="00CE4E05">
      <w:pPr>
        <w:spacing w:before="240"/>
        <w:contextualSpacing/>
        <w:jc w:val="both"/>
      </w:pPr>
    </w:p>
    <w:p w:rsidR="00CE4E05" w:rsidRDefault="00CE4E05" w:rsidP="00CE4E05">
      <w:pPr>
        <w:spacing w:before="240"/>
        <w:contextualSpacing/>
        <w:jc w:val="both"/>
      </w:pPr>
      <w:r>
        <w:t>Upravitelj-Knin d.o.o. u sustavu unutarnjih kontrola primjenuje preventivne i detektivne kontrole: rukovodstvo je uspostavilo sustav prema kojem nijedan pojedinac istovremeno nije odgovoran za:</w:t>
      </w:r>
    </w:p>
    <w:p w:rsidR="00CE4E05" w:rsidRDefault="00CE4E05" w:rsidP="00CE4E05">
      <w:pPr>
        <w:pStyle w:val="ListParagraph"/>
        <w:numPr>
          <w:ilvl w:val="0"/>
          <w:numId w:val="12"/>
        </w:numPr>
        <w:spacing w:before="240"/>
        <w:jc w:val="both"/>
      </w:pPr>
      <w:r>
        <w:t>Pokretanje transakcije,</w:t>
      </w:r>
    </w:p>
    <w:p w:rsidR="00CE4E05" w:rsidRDefault="00CE4E05" w:rsidP="00CE4E05">
      <w:pPr>
        <w:pStyle w:val="ListParagraph"/>
        <w:numPr>
          <w:ilvl w:val="0"/>
          <w:numId w:val="12"/>
        </w:numPr>
        <w:spacing w:before="240"/>
        <w:jc w:val="both"/>
      </w:pPr>
      <w:r>
        <w:t>Odobravanje transakcije,</w:t>
      </w:r>
    </w:p>
    <w:p w:rsidR="00CE4E05" w:rsidRDefault="00CE4E05" w:rsidP="00CE4E05">
      <w:pPr>
        <w:pStyle w:val="ListParagraph"/>
        <w:numPr>
          <w:ilvl w:val="0"/>
          <w:numId w:val="12"/>
        </w:numPr>
        <w:spacing w:before="240"/>
        <w:jc w:val="both"/>
      </w:pPr>
      <w:r>
        <w:t>Evidentiranje transakcije,</w:t>
      </w:r>
    </w:p>
    <w:p w:rsidR="00CE4E05" w:rsidRDefault="00CE4E05" w:rsidP="00CE4E05">
      <w:pPr>
        <w:pStyle w:val="ListParagraph"/>
        <w:numPr>
          <w:ilvl w:val="0"/>
          <w:numId w:val="12"/>
        </w:numPr>
        <w:spacing w:before="240"/>
        <w:jc w:val="both"/>
      </w:pPr>
      <w:r>
        <w:t>Usklađenje salda,</w:t>
      </w:r>
    </w:p>
    <w:p w:rsidR="00CE4E05" w:rsidRDefault="00CE4E05" w:rsidP="00CE4E05">
      <w:pPr>
        <w:pStyle w:val="ListParagraph"/>
        <w:numPr>
          <w:ilvl w:val="0"/>
          <w:numId w:val="12"/>
        </w:numPr>
        <w:spacing w:before="240"/>
        <w:jc w:val="both"/>
      </w:pPr>
      <w:r>
        <w:t>Rukovanje imovinom,</w:t>
      </w:r>
    </w:p>
    <w:p w:rsidR="00CE4E05" w:rsidRDefault="00CE4E05" w:rsidP="00CE4E05">
      <w:pPr>
        <w:pStyle w:val="ListParagraph"/>
        <w:numPr>
          <w:ilvl w:val="0"/>
          <w:numId w:val="12"/>
        </w:numPr>
        <w:spacing w:before="240"/>
        <w:jc w:val="both"/>
      </w:pPr>
      <w:r>
        <w:t>Razmatranje izvješća.</w:t>
      </w:r>
    </w:p>
    <w:p w:rsidR="00CE4E05" w:rsidRDefault="00CE4E05" w:rsidP="00CE4E05">
      <w:pPr>
        <w:spacing w:before="240"/>
        <w:jc w:val="both"/>
      </w:pPr>
      <w:r>
        <w:t>Dakle, funkcija odobrenja (direktor), funkcija računovodstva i funkcija čuvanja imovine trebaju biti podijeljene različitim zaposlenicima.  Osoba koja predlaže nabavu roba ili usluga nije ujedno i osoba koja odobrava nabavu; priprema, autorizacija i izvršavanje plaćanja obavljaju različite osobe, osoba koja odobrava nabavu roba ili usluga nije ujedno i osoba koja provodi usklade mjesečnih financijskih izvješća. Ukoliko se ove fukncije ne mogu međusobno razdijeliti zbog malog broja zaposlenika, rukovodstvo uspostavlja detaljni nadzor</w:t>
      </w:r>
      <w:r w:rsidR="000E267F">
        <w:t xml:space="preserve"> povezanih aktivnosti kako bi se kompenzirale kontrolne aktivnosti.</w:t>
      </w:r>
    </w:p>
    <w:p w:rsidR="00570C4A" w:rsidRDefault="00570C4A" w:rsidP="00CE4E05">
      <w:pPr>
        <w:spacing w:before="240"/>
        <w:jc w:val="both"/>
      </w:pPr>
    </w:p>
    <w:p w:rsidR="000E267F" w:rsidRDefault="000E267F" w:rsidP="00CE4E05">
      <w:pPr>
        <w:spacing w:before="240"/>
        <w:jc w:val="both"/>
      </w:pPr>
      <w:r>
        <w:t xml:space="preserve">Nadalje, rukovodstvo je oblikovalo i odobrilo ustrojstvenu shemu koja se stalno ažurira u skladu s ustrojstvenim promjenama. Rukovodstvo je razvilo, izdalo i odobrilo priručnike te pisane smjernice i upute, koje se također redovito ažuriraju. Uspostavljena je jasno određena odgovornost pojedinaca i skupina pojedinaca (timova) u smislu resursa, aktivnosti, programa, projekata, općih i specifičnih ciljeva. </w:t>
      </w:r>
    </w:p>
    <w:p w:rsidR="00927D89" w:rsidRDefault="000E267F" w:rsidP="00CE4E05">
      <w:pPr>
        <w:spacing w:before="240"/>
        <w:jc w:val="both"/>
      </w:pPr>
      <w:r>
        <w:t xml:space="preserve">Uspostavljene su jasne pisane procedure za autorizaciju i odobrenje. Uspostavljene su jasne granice ovlasti odnosno definicija zahtjeva autorizacije/odobrenja za aktivnosti i transakcije. Rukovodstvo se pobrinulo za to da nema praznih potpisanih dokumenata/obrazaca. Rukovodstvo provjerava da su relevantne aktivnosti i transakcije odgovarajuće autorizirane. Autorizacija predstavlja prijenos ovlasti; a može biti opća ili specifična. Odobrenje transakcije podrazumijeva da je osoba zadužena za odobrenje razmotrila popratnu dokumentaciju i da smatra da je transakcija prikladna, točna i da je usklađena sa zakonima, podzakonskim propisima, politikama i postupcima. Odobravatelji trebaju razmotriti popratnu dokumentaciju, preispitivati uobičajena pitanja/stavke te se pobrinuti za to da postoje neophodne informacije radi opravdavanja transakcije prije nego što ju potpišu. Odobravatelj ni pod kakvim okolnostima ne smije potpisati prazne dokumente/obrasce. Odobravatelj ni pod kakvim okolnostima ne smije nekome reći da odobravateljevo ime smije potpisati u ime odobravatelja. </w:t>
      </w:r>
    </w:p>
    <w:p w:rsidR="00927D89" w:rsidRDefault="00927D89" w:rsidP="00CE4E05">
      <w:pPr>
        <w:spacing w:before="240"/>
        <w:jc w:val="both"/>
      </w:pPr>
    </w:p>
    <w:p w:rsidR="000E267F" w:rsidRDefault="000E267F" w:rsidP="00CE4E05">
      <w:pPr>
        <w:spacing w:before="240"/>
        <w:jc w:val="both"/>
      </w:pPr>
      <w:r>
        <w:t>Odobravatelj s ovlastima elektronskog odobrenja ni pod kakvim okolnostima ne smije dati svoju zaporku drugoj osobi.</w:t>
      </w:r>
    </w:p>
    <w:p w:rsidR="000E267F" w:rsidRDefault="000E267F" w:rsidP="00CE4E05">
      <w:pPr>
        <w:spacing w:before="240"/>
        <w:jc w:val="both"/>
      </w:pPr>
      <w:r>
        <w:t>Za fizičku kontrolu uspostavljeno je sljedeće:</w:t>
      </w:r>
    </w:p>
    <w:p w:rsidR="000E267F" w:rsidRDefault="000E267F" w:rsidP="00570C4A">
      <w:pPr>
        <w:spacing w:after="0"/>
        <w:ind w:left="708" w:firstLine="708"/>
        <w:jc w:val="both"/>
      </w:pPr>
      <w:r>
        <w:t>- sigurno čuvanje fizičke i intelektualne imovine i evidencija,</w:t>
      </w:r>
    </w:p>
    <w:p w:rsidR="000E267F" w:rsidRDefault="000E267F" w:rsidP="00570C4A">
      <w:pPr>
        <w:spacing w:after="0"/>
        <w:ind w:left="708" w:firstLine="708"/>
        <w:jc w:val="both"/>
      </w:pPr>
      <w:r>
        <w:t>- fizička zaštita,</w:t>
      </w:r>
    </w:p>
    <w:p w:rsidR="000E267F" w:rsidRDefault="000E267F" w:rsidP="00570C4A">
      <w:pPr>
        <w:spacing w:after="0"/>
        <w:ind w:left="708" w:firstLine="708"/>
        <w:jc w:val="both"/>
      </w:pPr>
      <w:r>
        <w:t>-</w:t>
      </w:r>
      <w:r w:rsidR="00927D89">
        <w:t xml:space="preserve"> </w:t>
      </w:r>
      <w:r>
        <w:t>održavanje trajnih evidencija</w:t>
      </w:r>
      <w:r w:rsidR="00927D89">
        <w:t>,</w:t>
      </w:r>
    </w:p>
    <w:p w:rsidR="000E267F" w:rsidRDefault="000E267F" w:rsidP="00570C4A">
      <w:pPr>
        <w:spacing w:after="0"/>
        <w:ind w:left="708" w:firstLine="708"/>
        <w:jc w:val="both"/>
      </w:pPr>
      <w:r>
        <w:t xml:space="preserve">- obavljanje periodičnih inventura, </w:t>
      </w:r>
    </w:p>
    <w:p w:rsidR="000E267F" w:rsidRDefault="00927D89" w:rsidP="00570C4A">
      <w:pPr>
        <w:spacing w:after="0"/>
        <w:ind w:left="708" w:firstLine="708"/>
        <w:jc w:val="both"/>
      </w:pPr>
      <w:r>
        <w:t xml:space="preserve">- </w:t>
      </w:r>
      <w:r w:rsidR="000E267F">
        <w:t xml:space="preserve">izradu analiza razlika te za poduzimanje prikladnih radnji za njihovo ispravljanje ili otklanjanje, </w:t>
      </w:r>
    </w:p>
    <w:p w:rsidR="000E267F" w:rsidRDefault="000E267F" w:rsidP="00570C4A">
      <w:pPr>
        <w:spacing w:after="0"/>
        <w:ind w:left="708" w:firstLine="708"/>
        <w:jc w:val="both"/>
      </w:pPr>
      <w:r>
        <w:t>- kontrole pristupa, kao što su zaporke, identifikacijske kartice, zaštitari, prijave na računala.</w:t>
      </w:r>
    </w:p>
    <w:p w:rsidR="000E267F" w:rsidRDefault="000E267F" w:rsidP="000E267F">
      <w:pPr>
        <w:spacing w:after="0"/>
        <w:jc w:val="both"/>
      </w:pPr>
    </w:p>
    <w:p w:rsidR="000E267F" w:rsidRDefault="000E267F" w:rsidP="000E267F">
      <w:pPr>
        <w:spacing w:after="0"/>
        <w:jc w:val="both"/>
      </w:pPr>
    </w:p>
    <w:p w:rsidR="000E267F" w:rsidRDefault="001B21F2" w:rsidP="000E267F">
      <w:pPr>
        <w:spacing w:after="0"/>
        <w:jc w:val="both"/>
      </w:pPr>
      <w:r>
        <w:t>U smislu numeričkih i raču</w:t>
      </w:r>
      <w:r w:rsidR="000E267F">
        <w:t>novodstvenih kontrola, provode se aktivnosti:</w:t>
      </w:r>
    </w:p>
    <w:p w:rsidR="000E267F" w:rsidRDefault="000E267F" w:rsidP="000E267F">
      <w:pPr>
        <w:spacing w:after="0"/>
        <w:jc w:val="both"/>
      </w:pPr>
    </w:p>
    <w:p w:rsidR="001B21F2" w:rsidRDefault="000E267F" w:rsidP="000E267F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Rukovodstvo se brine za to da </w:t>
      </w:r>
      <w:r w:rsidR="001B21F2">
        <w:t xml:space="preserve">Društvo </w:t>
      </w:r>
      <w:r>
        <w:t>vodi odgovarajuće financijske i druge informacije odnosno dokumente radi</w:t>
      </w:r>
      <w:r w:rsidR="001B21F2">
        <w:t xml:space="preserve"> sastavljanja poslovnih knjiga,</w:t>
      </w:r>
    </w:p>
    <w:p w:rsidR="001B21F2" w:rsidRDefault="000E267F" w:rsidP="000E267F">
      <w:pPr>
        <w:pStyle w:val="ListParagraph"/>
        <w:numPr>
          <w:ilvl w:val="0"/>
          <w:numId w:val="12"/>
        </w:numPr>
        <w:spacing w:after="0"/>
        <w:jc w:val="both"/>
      </w:pPr>
      <w:r>
        <w:t>Transakcije se evidentiraju što je moguće</w:t>
      </w:r>
      <w:r w:rsidR="001B21F2">
        <w:t xml:space="preserve"> bliže mjestu njihova nastanka,</w:t>
      </w:r>
    </w:p>
    <w:p w:rsidR="001B21F2" w:rsidRDefault="000E267F" w:rsidP="000E267F">
      <w:pPr>
        <w:pStyle w:val="ListParagraph"/>
        <w:numPr>
          <w:ilvl w:val="0"/>
          <w:numId w:val="12"/>
        </w:numPr>
        <w:spacing w:after="0"/>
        <w:jc w:val="both"/>
      </w:pPr>
      <w:r>
        <w:t>Rukovodstvo provjerava transakcije u odgovarajućim razdobljima. Provjere obavlja osoblje neovisno o osoblju koje obavlja aktivnosti. Slijed provjera dokazno se potkre</w:t>
      </w:r>
      <w:r w:rsidR="001B21F2">
        <w:t>pljuje numeriranim dokumentima,</w:t>
      </w:r>
    </w:p>
    <w:p w:rsidR="001B21F2" w:rsidRDefault="000E267F" w:rsidP="000E267F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Postoje usporedbe jednog skupa dokumenata ili računovodstvenih evidencija s drugim, npr. narudžbenica i dostavnica. </w:t>
      </w:r>
      <w:r w:rsidR="001B21F2">
        <w:t>Uspostvaljena je kontrola zbroja,</w:t>
      </w:r>
    </w:p>
    <w:p w:rsidR="001B21F2" w:rsidRDefault="000E267F" w:rsidP="000E267F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Financijska izvješća pripremaju se na način da odgovaraju potrebama organizacije kako bi rukovoditelji mogli donositi racionalne </w:t>
      </w:r>
      <w:r w:rsidR="001B21F2">
        <w:t>odluke,</w:t>
      </w:r>
    </w:p>
    <w:p w:rsidR="001B21F2" w:rsidRDefault="000E267F" w:rsidP="000E267F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Financijska izvješća pripremaju se </w:t>
      </w:r>
      <w:r w:rsidR="001B21F2">
        <w:t>na temelju linija odgovornosti,</w:t>
      </w:r>
    </w:p>
    <w:p w:rsidR="000E267F" w:rsidRDefault="000E267F" w:rsidP="000E267F">
      <w:pPr>
        <w:pStyle w:val="ListParagraph"/>
        <w:numPr>
          <w:ilvl w:val="0"/>
          <w:numId w:val="12"/>
        </w:numPr>
        <w:spacing w:after="0"/>
        <w:jc w:val="both"/>
      </w:pPr>
      <w:r>
        <w:t>Rukovodstvo obavlja ponovne provjere na temelju uzorka.</w:t>
      </w:r>
    </w:p>
    <w:p w:rsidR="001B21F2" w:rsidRDefault="001B21F2" w:rsidP="001B21F2">
      <w:pPr>
        <w:spacing w:after="0"/>
        <w:jc w:val="both"/>
      </w:pPr>
    </w:p>
    <w:p w:rsidR="001B21F2" w:rsidRDefault="001B21F2" w:rsidP="001B21F2">
      <w:pPr>
        <w:spacing w:after="0"/>
        <w:jc w:val="both"/>
      </w:pPr>
      <w:r>
        <w:t>Slijedom gore navedenoga, konstatira se sljedeće: računovodstveni standardi su usvojeni i primjenjuju se, računski plan je raspoloživ i prikladan, vode se primjerene računovodstvene evidencije, uključujući dnevnik i glavnu knjigu. Usklađivanje računa i popratnih dokumenata provodi se prije evidentiranja u poslovne knjige. Probna bilanca stanja priprema se i usklađuje s računovodstvenim evidencijama, vrši se usklađivanje poslovnih knjiga i bankovnih izvješća. Uspostavljeno je prikladno praćenje obveza, kao i prikladno praćenje potraživanja. Uspostavljena je prikladna procedura otpisa, a privremena i financijska izvješća pripremaju se te odražavaju aktivnosti, programe i projekte. Postavljeni su rokovi za pripremu financijskih izvješća, obavljaju se kontrole zbrojeva, kao i  ponovni izračun iznosa po računima i popratnim dokumentima. Obavljaju se i potkrepljuju provjere te nadzor računovodstvenih evidencija.</w:t>
      </w:r>
    </w:p>
    <w:p w:rsidR="001B21F2" w:rsidRDefault="001B21F2" w:rsidP="001B21F2">
      <w:pPr>
        <w:spacing w:after="0"/>
        <w:jc w:val="both"/>
      </w:pPr>
    </w:p>
    <w:p w:rsidR="00927D89" w:rsidRDefault="00927D89" w:rsidP="001B21F2">
      <w:pPr>
        <w:spacing w:after="0"/>
        <w:jc w:val="both"/>
      </w:pPr>
    </w:p>
    <w:p w:rsidR="00927D89" w:rsidRDefault="00927D89" w:rsidP="001B21F2">
      <w:pPr>
        <w:spacing w:after="0"/>
        <w:jc w:val="both"/>
      </w:pPr>
    </w:p>
    <w:p w:rsidR="00927D89" w:rsidRDefault="00927D89" w:rsidP="001B21F2">
      <w:pPr>
        <w:spacing w:after="0"/>
        <w:jc w:val="both"/>
      </w:pPr>
    </w:p>
    <w:p w:rsidR="001B21F2" w:rsidRDefault="001B21F2" w:rsidP="001B21F2">
      <w:pPr>
        <w:spacing w:after="0"/>
        <w:jc w:val="both"/>
      </w:pPr>
      <w:r>
        <w:t>U sustavu informacijske tehnologije, unutarnja kontrola provodi se na temelju općih i aplikativnih kontrola:</w:t>
      </w:r>
    </w:p>
    <w:p w:rsidR="001B21F2" w:rsidRDefault="001B21F2" w:rsidP="001B21F2">
      <w:pPr>
        <w:spacing w:after="0"/>
        <w:jc w:val="both"/>
      </w:pPr>
    </w:p>
    <w:p w:rsidR="000E267F" w:rsidRDefault="001B21F2" w:rsidP="001B21F2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Rukovodstvo je uspostavilo opće kontrole u vezi općih operacija podatkovnog centra, nabavljanja softvera i podrške, kontrola pristupa, razvoja i podrške aplikacija. Osigurano je odgovarajuće razgraničenje dužnosti, uzimajući u obzir osobitosti IT okruženja. Ove kontrole među ostalim uključuju uspostavljanje i raspored posla, radnje operatera, procedure za sigurnosne kopije i oporavak te planiranje nepredviđenih okolnosti ili oporavak od katastrofe, </w:t>
      </w:r>
    </w:p>
    <w:p w:rsidR="001B21F2" w:rsidRDefault="001B21F2" w:rsidP="001B21F2">
      <w:pPr>
        <w:pStyle w:val="ListParagraph"/>
        <w:numPr>
          <w:ilvl w:val="0"/>
          <w:numId w:val="12"/>
        </w:numPr>
        <w:spacing w:after="0"/>
        <w:jc w:val="both"/>
      </w:pPr>
      <w:r>
        <w:t>Kontrole su oblikovane na način da osiguravaju cjelovitost i točnost obrade transakcija, autorizacije i valjanosti. Rukovodstvo je uspostavilo kontrole unosa. Rukovodstvo je uspostavilo kontrole obrade. Rukovodstvo je uspostavilo kontrole izlaza. Aplikacijska sučelja su raspoloživa i povezuju se s drugim sustavima kojima je potrebna kontrola radi osiguravanja da su svi unosi za obradu zaprimljeni, odnosno da su svi izlazi odgovarajuće distribuirani.</w:t>
      </w:r>
    </w:p>
    <w:p w:rsidR="001B21F2" w:rsidRDefault="001B21F2" w:rsidP="001B21F2">
      <w:pPr>
        <w:spacing w:after="0"/>
        <w:jc w:val="both"/>
      </w:pPr>
    </w:p>
    <w:p w:rsidR="00927D89" w:rsidRDefault="00927D89" w:rsidP="001B21F2">
      <w:pPr>
        <w:spacing w:after="0"/>
        <w:jc w:val="both"/>
      </w:pPr>
    </w:p>
    <w:p w:rsidR="003519ED" w:rsidRDefault="001B21F2" w:rsidP="000E26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 smislu upravljačkih kontrola provedene su aktivnosti: </w:t>
      </w:r>
    </w:p>
    <w:p w:rsidR="001B21F2" w:rsidRDefault="001B21F2" w:rsidP="000E267F">
      <w:pPr>
        <w:spacing w:after="0"/>
        <w:jc w:val="both"/>
        <w:rPr>
          <w:rFonts w:cstheme="minorHAnsi"/>
        </w:rPr>
      </w:pPr>
    </w:p>
    <w:p w:rsidR="001B21F2" w:rsidRPr="001B21F2" w:rsidRDefault="001B21F2" w:rsidP="001B21F2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t xml:space="preserve">Strateški i godišnji plan su pripremljeni, </w:t>
      </w:r>
    </w:p>
    <w:p w:rsidR="00570C4A" w:rsidRPr="00570C4A" w:rsidRDefault="001B21F2" w:rsidP="001B21F2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t>Ciljevi su postavljeni u pisanom obliku, o njima je obaviješteno odgovarajuće osob</w:t>
      </w:r>
      <w:r w:rsidR="00570C4A">
        <w:t xml:space="preserve">lje te ih se redovito razmatra, </w:t>
      </w:r>
    </w:p>
    <w:p w:rsidR="00570C4A" w:rsidRPr="00570C4A" w:rsidRDefault="00570C4A" w:rsidP="001B21F2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t>Donesen je p</w:t>
      </w:r>
      <w:r w:rsidR="00927D89">
        <w:t>r</w:t>
      </w:r>
      <w:r w:rsidR="001B21F2">
        <w:t>egled raspoloživosti i prikladnosti financijskih i operativnih informacija</w:t>
      </w:r>
      <w:r>
        <w:t xml:space="preserve">, </w:t>
      </w:r>
    </w:p>
    <w:p w:rsidR="00570C4A" w:rsidRPr="00570C4A" w:rsidRDefault="001B21F2" w:rsidP="001B21F2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t>Godišnja i privremena izvješća o izvršenju strateškog i godišnj</w:t>
      </w:r>
      <w:r w:rsidR="00570C4A">
        <w:t>eg plana pripremaju se i unapređ</w:t>
      </w:r>
      <w:r>
        <w:t>uju proces odlučivanja</w:t>
      </w:r>
      <w:r w:rsidR="00570C4A">
        <w:t xml:space="preserve">, </w:t>
      </w:r>
    </w:p>
    <w:p w:rsidR="001B21F2" w:rsidRPr="00570C4A" w:rsidRDefault="001B21F2" w:rsidP="001B21F2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t>Izvješća se pripremaju za konkretne aktivnosti, programe i projekte ako je to potrebno.</w:t>
      </w:r>
    </w:p>
    <w:p w:rsidR="00570C4A" w:rsidRDefault="00570C4A" w:rsidP="00570C4A">
      <w:pPr>
        <w:spacing w:after="0"/>
        <w:jc w:val="both"/>
        <w:rPr>
          <w:rFonts w:cstheme="minorHAnsi"/>
        </w:rPr>
      </w:pPr>
    </w:p>
    <w:p w:rsidR="00927D89" w:rsidRDefault="00927D89" w:rsidP="00570C4A">
      <w:pPr>
        <w:spacing w:after="0"/>
        <w:jc w:val="both"/>
        <w:rPr>
          <w:rFonts w:cstheme="minorHAnsi"/>
        </w:rPr>
      </w:pPr>
    </w:p>
    <w:p w:rsidR="00570C4A" w:rsidRDefault="00570C4A" w:rsidP="00570C4A">
      <w:pPr>
        <w:spacing w:after="0"/>
        <w:jc w:val="both"/>
        <w:rPr>
          <w:rFonts w:cstheme="minorHAnsi"/>
        </w:rPr>
      </w:pPr>
      <w:r>
        <w:rPr>
          <w:rFonts w:cstheme="minorHAnsi"/>
        </w:rPr>
        <w:t>U smislu informacije i komunikacija, razmotrene su kontrolne točke u sustavu unutarnjih kontrola, za što se podnosi izvješće:</w:t>
      </w:r>
    </w:p>
    <w:p w:rsidR="00F86304" w:rsidRDefault="00F86304" w:rsidP="00570C4A">
      <w:pPr>
        <w:spacing w:after="0"/>
        <w:jc w:val="both"/>
        <w:rPr>
          <w:rFonts w:cstheme="minorHAnsi"/>
        </w:rPr>
      </w:pPr>
    </w:p>
    <w:p w:rsidR="00570C4A" w:rsidRDefault="00570C4A" w:rsidP="00570C4A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Sastavljaju se redovna i povremena izvješća za rukovodstvo o poslovanju korisnika proračuna u vezi s postavljenim ciljevima. Spomenuta izvješća daju se nadležnim osobama s dostatnom količinom detalja te pravodobno kako bi im se omogućilo djelotvorno i učinkovito obnašanje njihovih odgovornosti, </w:t>
      </w:r>
    </w:p>
    <w:p w:rsidR="00570C4A" w:rsidRDefault="00570C4A" w:rsidP="00570C4A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Informacijski sustavi razvijeni su i pregledani u skladu sa strateškim planom Društva  te su prihvatljivi u smislu postizanja ciljeva na razini aktivnosti za cijelo poslovanje, </w:t>
      </w:r>
    </w:p>
    <w:p w:rsidR="00570C4A" w:rsidRDefault="00570C4A" w:rsidP="00570C4A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Urudžbeni sustav i arhiviranje prikladni su i osiguravaju djelotvornost i učinkovitost pri obavljanju operacija i transakcija, </w:t>
      </w:r>
    </w:p>
    <w:p w:rsidR="00927D89" w:rsidRDefault="00927D89" w:rsidP="00927D89">
      <w:pPr>
        <w:spacing w:after="0"/>
        <w:jc w:val="both"/>
      </w:pPr>
    </w:p>
    <w:p w:rsidR="00927D89" w:rsidRDefault="00927D89" w:rsidP="00927D89">
      <w:pPr>
        <w:spacing w:after="0"/>
        <w:jc w:val="both"/>
      </w:pPr>
    </w:p>
    <w:p w:rsidR="00927D89" w:rsidRDefault="00927D89" w:rsidP="00927D89">
      <w:pPr>
        <w:spacing w:after="0"/>
        <w:jc w:val="both"/>
      </w:pPr>
    </w:p>
    <w:p w:rsidR="00927D89" w:rsidRDefault="00927D89" w:rsidP="00927D89">
      <w:pPr>
        <w:spacing w:after="0"/>
        <w:jc w:val="both"/>
      </w:pPr>
    </w:p>
    <w:p w:rsidR="00570C4A" w:rsidRDefault="00570C4A" w:rsidP="00570C4A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Rukovoditelji i ostali zaposlenici zaprimaju redovne, pouzdane i lako dostupne upravljačke informacije o izvršavanju plana, uporabi resursa i ostvarenju strateških i operativnih planova, </w:t>
      </w:r>
    </w:p>
    <w:p w:rsidR="00570C4A" w:rsidRDefault="00570C4A" w:rsidP="00570C4A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Postoje jasne linije komunikacije i izvješćivanja koje zaposlenicima omogućuju učinkovito obnašanje njihovih odgovornosti, </w:t>
      </w:r>
    </w:p>
    <w:p w:rsidR="00570C4A" w:rsidRDefault="00570C4A" w:rsidP="00570C4A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Postoje prikladni mehanizmi za davanje povratnih informacija koji rukovoditeljima omogućuje da budu svjesni problematičnih područja i/ili ostvarenja u nekom specifičnom području, </w:t>
      </w:r>
    </w:p>
    <w:p w:rsidR="00570C4A" w:rsidRDefault="00570C4A" w:rsidP="00570C4A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Postoje kanali za izvješćivanje o neprikladnostima. Ova izvješća odgovarajućeg su sadržaja i oblika koji pospješuju daljnje radnje, </w:t>
      </w:r>
    </w:p>
    <w:p w:rsidR="00570C4A" w:rsidRDefault="00570C4A" w:rsidP="00570C4A">
      <w:pPr>
        <w:pStyle w:val="ListParagraph"/>
        <w:numPr>
          <w:ilvl w:val="0"/>
          <w:numId w:val="12"/>
        </w:numPr>
        <w:spacing w:after="0"/>
        <w:jc w:val="both"/>
      </w:pPr>
      <w:r>
        <w:t>Postoji dokaz o prihvaćanju prijedloga zaposlenika od strane rukovodstva o načinima za unapređivanje djelotvornosti i učinkovitosti, kvalitete i kontrole ili za druga slična poboljšanja. Rukovodstvo pravodobno i prikladno reagira na temelju informacija dobivenih izvan Društva.</w:t>
      </w:r>
    </w:p>
    <w:p w:rsidR="00F86304" w:rsidRDefault="00F86304" w:rsidP="00F86304">
      <w:pPr>
        <w:spacing w:after="0"/>
        <w:jc w:val="both"/>
      </w:pPr>
    </w:p>
    <w:p w:rsidR="00F86304" w:rsidRDefault="00F86304" w:rsidP="00F86304">
      <w:pPr>
        <w:spacing w:after="0"/>
        <w:jc w:val="both"/>
      </w:pPr>
    </w:p>
    <w:p w:rsidR="00F86304" w:rsidRDefault="00F86304" w:rsidP="00F86304">
      <w:pPr>
        <w:spacing w:after="0"/>
        <w:jc w:val="both"/>
      </w:pPr>
      <w:bookmarkStart w:id="0" w:name="_GoBack"/>
      <w:bookmarkEnd w:id="0"/>
    </w:p>
    <w:p w:rsidR="00927D89" w:rsidRDefault="00927D89" w:rsidP="00F86304">
      <w:pPr>
        <w:spacing w:after="0"/>
        <w:jc w:val="both"/>
      </w:pPr>
    </w:p>
    <w:p w:rsidR="00927D89" w:rsidRDefault="00927D89" w:rsidP="00F86304">
      <w:pPr>
        <w:spacing w:after="0"/>
        <w:jc w:val="both"/>
      </w:pPr>
    </w:p>
    <w:p w:rsidR="00927D89" w:rsidRDefault="00927D89" w:rsidP="00F86304">
      <w:pPr>
        <w:spacing w:after="0"/>
        <w:jc w:val="both"/>
      </w:pPr>
    </w:p>
    <w:p w:rsidR="00F86304" w:rsidRDefault="00F86304" w:rsidP="00F86304">
      <w:pPr>
        <w:spacing w:after="0"/>
        <w:jc w:val="both"/>
      </w:pPr>
    </w:p>
    <w:p w:rsidR="00F86304" w:rsidRDefault="00F86304" w:rsidP="00F86304">
      <w:pPr>
        <w:spacing w:after="0"/>
        <w:jc w:val="both"/>
      </w:pPr>
    </w:p>
    <w:p w:rsidR="00F86304" w:rsidRDefault="00F86304" w:rsidP="00F86304">
      <w:pPr>
        <w:spacing w:after="0"/>
        <w:jc w:val="both"/>
      </w:pPr>
      <w:r>
        <w:t>Izvješće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Čelnik:</w:t>
      </w:r>
    </w:p>
    <w:p w:rsidR="00470658" w:rsidRDefault="00470658" w:rsidP="00F86304">
      <w:pPr>
        <w:spacing w:after="0"/>
        <w:jc w:val="both"/>
      </w:pPr>
      <w:r>
        <w:t>Zdenka Batarilo, voditelj susutava FMC-a</w:t>
      </w:r>
      <w:r w:rsidR="00F86304">
        <w:tab/>
      </w:r>
      <w:r w:rsidR="00F86304">
        <w:tab/>
      </w:r>
      <w:r w:rsidR="00F86304">
        <w:tab/>
      </w:r>
      <w:r w:rsidR="00F86304">
        <w:tab/>
      </w:r>
      <w:r w:rsidR="00F86304">
        <w:tab/>
        <w:t>Josip Kaić</w:t>
      </w:r>
      <w:r>
        <w:t>, direktor</w:t>
      </w:r>
    </w:p>
    <w:p w:rsidR="00470658" w:rsidRDefault="00470658" w:rsidP="00470658">
      <w:pPr>
        <w:spacing w:after="0"/>
        <w:jc w:val="right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0F2D685" wp14:editId="0F1C99CA">
            <wp:extent cx="1752601" cy="719136"/>
            <wp:effectExtent l="38100" t="114300" r="38100" b="1193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6782" r="4807" b="45294"/>
                    <a:stretch/>
                  </pic:blipFill>
                  <pic:spPr>
                    <a:xfrm rot="21178020">
                      <a:off x="0" y="0"/>
                      <a:ext cx="1752601" cy="71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58" w:rsidRDefault="00470658" w:rsidP="00470658">
      <w:pPr>
        <w:spacing w:after="0"/>
        <w:jc w:val="right"/>
      </w:pPr>
    </w:p>
    <w:sectPr w:rsidR="00470658" w:rsidSect="00456ED3">
      <w:headerReference w:type="default" r:id="rId9"/>
      <w:footerReference w:type="default" r:id="rId10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9C" w:rsidRDefault="002C3D9C" w:rsidP="008A63F6">
      <w:pPr>
        <w:spacing w:after="0" w:line="240" w:lineRule="auto"/>
      </w:pPr>
      <w:r>
        <w:separator/>
      </w:r>
    </w:p>
  </w:endnote>
  <w:endnote w:type="continuationSeparator" w:id="0">
    <w:p w:rsidR="002C3D9C" w:rsidRDefault="002C3D9C" w:rsidP="008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B" w:rsidRDefault="0011120B">
    <w:pPr>
      <w:pStyle w:val="Footer"/>
      <w:rPr>
        <w:sz w:val="18"/>
        <w:szCs w:val="18"/>
      </w:rPr>
    </w:pPr>
  </w:p>
  <w:p w:rsidR="0011120B" w:rsidRDefault="002C3D9C">
    <w:pPr>
      <w:pStyle w:val="Footer"/>
      <w:rPr>
        <w:sz w:val="18"/>
        <w:szCs w:val="18"/>
      </w:rPr>
    </w:pPr>
    <w:r>
      <w:pict>
        <v:rect id="_x0000_i1026" style="width:669.05pt;height:2pt;mso-position-vertical:absolute" o:hrpct="0" o:hralign="center" o:hrstd="t" o:hrnoshade="t" o:hr="t" fillcolor="#5a5a5a [2109]" stroked="f"/>
      </w:pict>
    </w:r>
  </w:p>
  <w:p w:rsidR="0011120B" w:rsidRPr="0011120B" w:rsidRDefault="0011120B" w:rsidP="0011120B">
    <w:pPr>
      <w:pStyle w:val="Footer"/>
      <w:jc w:val="center"/>
      <w:rPr>
        <w:sz w:val="16"/>
        <w:szCs w:val="16"/>
      </w:rPr>
    </w:pPr>
    <w:r w:rsidRPr="0011120B">
      <w:rPr>
        <w:sz w:val="16"/>
        <w:szCs w:val="16"/>
      </w:rPr>
      <w:t>Društvo je upisano kod Trgovačkog suda u Zadru, Stalna služba u Šibeniku, br. 060184171. Temeljni kapital: 7.216.600,00 kn nije uplaćen u cijelosti, 7.196.600,00 nije uplaćeno. Uprava-direktor: Josip Kaić</w:t>
    </w:r>
  </w:p>
  <w:p w:rsidR="009F79EF" w:rsidRDefault="009F7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9C" w:rsidRDefault="002C3D9C" w:rsidP="008A63F6">
      <w:pPr>
        <w:spacing w:after="0" w:line="240" w:lineRule="auto"/>
      </w:pPr>
      <w:r>
        <w:separator/>
      </w:r>
    </w:p>
  </w:footnote>
  <w:footnote w:type="continuationSeparator" w:id="0">
    <w:p w:rsidR="002C3D9C" w:rsidRDefault="002C3D9C" w:rsidP="008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25" w:rsidRPr="009F79EF" w:rsidRDefault="009B0025" w:rsidP="000D25E3">
    <w:pPr>
      <w:pStyle w:val="Header"/>
      <w:jc w:val="right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953496B" wp14:editId="4B3457C0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565930" cy="714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ravitel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71" cy="714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5E3">
      <w:tab/>
    </w:r>
    <w:r w:rsidR="000D25E3">
      <w:tab/>
    </w:r>
    <w:r w:rsidR="000D25E3" w:rsidRPr="009F79EF">
      <w:rPr>
        <w:sz w:val="18"/>
        <w:szCs w:val="18"/>
      </w:rPr>
      <w:t>Vukovarska 2, 22300 Knin</w:t>
    </w:r>
  </w:p>
  <w:p w:rsidR="009F79EF" w:rsidRPr="009F79EF" w:rsidRDefault="000D25E3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Tel:</w:t>
    </w:r>
    <w:r w:rsidR="009F79EF" w:rsidRPr="009F79EF">
      <w:rPr>
        <w:sz w:val="18"/>
        <w:szCs w:val="18"/>
      </w:rPr>
      <w:t xml:space="preserve"> 022/663-344  663-322</w:t>
    </w:r>
  </w:p>
  <w:p w:rsidR="009F79EF" w:rsidRPr="009F79EF" w:rsidRDefault="009F79EF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OIB: 80011142141</w:t>
    </w:r>
  </w:p>
  <w:p w:rsidR="009F79EF" w:rsidRPr="009F79EF" w:rsidRDefault="009F79EF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IBAN: </w:t>
    </w:r>
    <w:r w:rsidR="00C349A9">
      <w:rPr>
        <w:sz w:val="18"/>
        <w:szCs w:val="18"/>
      </w:rPr>
      <w:t xml:space="preserve">8823900011101079819- HPB </w:t>
    </w:r>
    <w:r w:rsidRPr="009F79EF">
      <w:rPr>
        <w:sz w:val="18"/>
        <w:szCs w:val="18"/>
      </w:rPr>
      <w:t xml:space="preserve"> d.d.</w:t>
    </w:r>
  </w:p>
  <w:p w:rsidR="009F79EF" w:rsidRPr="009F79EF" w:rsidRDefault="009F79EF" w:rsidP="009F79EF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 </w:t>
    </w:r>
    <w:r>
      <w:rPr>
        <w:sz w:val="18"/>
        <w:szCs w:val="18"/>
      </w:rPr>
      <w:t xml:space="preserve"> - upravljanje i održavanje zgrada                                                                                                                         </w:t>
    </w:r>
    <w:r w:rsidRPr="009F79EF">
      <w:rPr>
        <w:sz w:val="18"/>
        <w:szCs w:val="18"/>
      </w:rPr>
      <w:t>www.upravitelj-knin.hr</w:t>
    </w:r>
  </w:p>
  <w:p w:rsidR="008A63F6" w:rsidRDefault="009F79EF" w:rsidP="009F79EF">
    <w:pPr>
      <w:pStyle w:val="Header"/>
      <w:jc w:val="right"/>
    </w:pPr>
    <w:r>
      <w:rPr>
        <w:sz w:val="18"/>
        <w:szCs w:val="18"/>
      </w:rPr>
      <w:t xml:space="preserve">- upravljanje tržnicama na malo                                                                                                                          </w:t>
    </w:r>
    <w:r w:rsidRPr="009F79EF">
      <w:rPr>
        <w:sz w:val="18"/>
        <w:szCs w:val="18"/>
      </w:rPr>
      <w:t>info@upravitelj-knin.hr</w:t>
    </w:r>
    <w:r w:rsidR="002C3D9C">
      <w:pict>
        <v:rect id="_x0000_i1025" style="width:669.05pt;height:2pt;mso-position-vertical:absolute" o:hrpct="0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146"/>
    <w:multiLevelType w:val="hybridMultilevel"/>
    <w:tmpl w:val="9B104DE2"/>
    <w:lvl w:ilvl="0" w:tplc="F2ECD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76F4D"/>
    <w:multiLevelType w:val="hybridMultilevel"/>
    <w:tmpl w:val="28DCF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3B65"/>
    <w:multiLevelType w:val="hybridMultilevel"/>
    <w:tmpl w:val="2A0C58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5868"/>
    <w:multiLevelType w:val="hybridMultilevel"/>
    <w:tmpl w:val="FA260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64C4"/>
    <w:multiLevelType w:val="multilevel"/>
    <w:tmpl w:val="0DDAD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143D9"/>
    <w:multiLevelType w:val="multilevel"/>
    <w:tmpl w:val="89807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C6D65B1"/>
    <w:multiLevelType w:val="multilevel"/>
    <w:tmpl w:val="0F08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754AD"/>
    <w:multiLevelType w:val="hybridMultilevel"/>
    <w:tmpl w:val="790AEF36"/>
    <w:lvl w:ilvl="0" w:tplc="CD8AD3E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2F1561"/>
    <w:multiLevelType w:val="multilevel"/>
    <w:tmpl w:val="AAD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91526"/>
    <w:multiLevelType w:val="multilevel"/>
    <w:tmpl w:val="2F1A4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E79CA"/>
    <w:multiLevelType w:val="hybridMultilevel"/>
    <w:tmpl w:val="5B183000"/>
    <w:lvl w:ilvl="0" w:tplc="1A2EB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1E5726"/>
    <w:multiLevelType w:val="multilevel"/>
    <w:tmpl w:val="48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0121F"/>
    <w:multiLevelType w:val="multilevel"/>
    <w:tmpl w:val="EB942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E2F6E"/>
    <w:multiLevelType w:val="multilevel"/>
    <w:tmpl w:val="B30A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E510D"/>
    <w:multiLevelType w:val="hybridMultilevel"/>
    <w:tmpl w:val="78861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7405"/>
    <w:multiLevelType w:val="multilevel"/>
    <w:tmpl w:val="7BDA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15E3B"/>
    <w:multiLevelType w:val="hybridMultilevel"/>
    <w:tmpl w:val="DFC40B28"/>
    <w:lvl w:ilvl="0" w:tplc="B058A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16"/>
  </w:num>
  <w:num w:numId="14">
    <w:abstractNumId w:val="5"/>
  </w:num>
  <w:num w:numId="15">
    <w:abstractNumId w:val="2"/>
  </w:num>
  <w:num w:numId="16">
    <w:abstractNumId w:val="14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F"/>
    <w:rsid w:val="00037411"/>
    <w:rsid w:val="00056358"/>
    <w:rsid w:val="0005677F"/>
    <w:rsid w:val="0006612D"/>
    <w:rsid w:val="00070C78"/>
    <w:rsid w:val="000712F4"/>
    <w:rsid w:val="00091D16"/>
    <w:rsid w:val="000A13D9"/>
    <w:rsid w:val="000A678F"/>
    <w:rsid w:val="000C227A"/>
    <w:rsid w:val="000D25E3"/>
    <w:rsid w:val="000D4450"/>
    <w:rsid w:val="000D5DB7"/>
    <w:rsid w:val="000E1B34"/>
    <w:rsid w:val="000E267F"/>
    <w:rsid w:val="000F2B5D"/>
    <w:rsid w:val="00103CDC"/>
    <w:rsid w:val="001109A0"/>
    <w:rsid w:val="0011120B"/>
    <w:rsid w:val="0011260D"/>
    <w:rsid w:val="00117778"/>
    <w:rsid w:val="001360AA"/>
    <w:rsid w:val="00152F70"/>
    <w:rsid w:val="001703FA"/>
    <w:rsid w:val="00171280"/>
    <w:rsid w:val="001772DA"/>
    <w:rsid w:val="0017798F"/>
    <w:rsid w:val="00196BB4"/>
    <w:rsid w:val="001B21F2"/>
    <w:rsid w:val="001C203F"/>
    <w:rsid w:val="001D2F63"/>
    <w:rsid w:val="001D33C4"/>
    <w:rsid w:val="001E1A94"/>
    <w:rsid w:val="001E3E2D"/>
    <w:rsid w:val="001F307C"/>
    <w:rsid w:val="002009E4"/>
    <w:rsid w:val="00214F9D"/>
    <w:rsid w:val="00220655"/>
    <w:rsid w:val="0023755F"/>
    <w:rsid w:val="002524A4"/>
    <w:rsid w:val="00290B17"/>
    <w:rsid w:val="002A710B"/>
    <w:rsid w:val="002C3D9C"/>
    <w:rsid w:val="002C4CCC"/>
    <w:rsid w:val="002C653D"/>
    <w:rsid w:val="002E3998"/>
    <w:rsid w:val="002E39F0"/>
    <w:rsid w:val="002E5860"/>
    <w:rsid w:val="002F0E73"/>
    <w:rsid w:val="003215FA"/>
    <w:rsid w:val="00321C2D"/>
    <w:rsid w:val="00340F89"/>
    <w:rsid w:val="003519ED"/>
    <w:rsid w:val="003671E8"/>
    <w:rsid w:val="003907A8"/>
    <w:rsid w:val="003A6C48"/>
    <w:rsid w:val="003B5810"/>
    <w:rsid w:val="003B7513"/>
    <w:rsid w:val="003F44F5"/>
    <w:rsid w:val="00403F3A"/>
    <w:rsid w:val="00415D9E"/>
    <w:rsid w:val="00426B68"/>
    <w:rsid w:val="00434642"/>
    <w:rsid w:val="00436C8B"/>
    <w:rsid w:val="00440D6C"/>
    <w:rsid w:val="00447BD8"/>
    <w:rsid w:val="0045303C"/>
    <w:rsid w:val="00456ED3"/>
    <w:rsid w:val="00470658"/>
    <w:rsid w:val="00471A6D"/>
    <w:rsid w:val="00484096"/>
    <w:rsid w:val="004848F8"/>
    <w:rsid w:val="004C54F0"/>
    <w:rsid w:val="004D7028"/>
    <w:rsid w:val="004E221E"/>
    <w:rsid w:val="004E337A"/>
    <w:rsid w:val="00504C73"/>
    <w:rsid w:val="00511A57"/>
    <w:rsid w:val="00516A38"/>
    <w:rsid w:val="005172A3"/>
    <w:rsid w:val="00556574"/>
    <w:rsid w:val="00570C4A"/>
    <w:rsid w:val="005827F9"/>
    <w:rsid w:val="0058309A"/>
    <w:rsid w:val="005939EB"/>
    <w:rsid w:val="005A15F4"/>
    <w:rsid w:val="005A23EF"/>
    <w:rsid w:val="005A47CB"/>
    <w:rsid w:val="005B6DD1"/>
    <w:rsid w:val="005C299C"/>
    <w:rsid w:val="005D3025"/>
    <w:rsid w:val="005E05B1"/>
    <w:rsid w:val="00620B77"/>
    <w:rsid w:val="006502C4"/>
    <w:rsid w:val="00650C1C"/>
    <w:rsid w:val="0065679D"/>
    <w:rsid w:val="006869ED"/>
    <w:rsid w:val="00695308"/>
    <w:rsid w:val="006E27B2"/>
    <w:rsid w:val="006F776D"/>
    <w:rsid w:val="007029AA"/>
    <w:rsid w:val="00720E32"/>
    <w:rsid w:val="007420E7"/>
    <w:rsid w:val="00746D06"/>
    <w:rsid w:val="0076020A"/>
    <w:rsid w:val="00761895"/>
    <w:rsid w:val="00765DEC"/>
    <w:rsid w:val="00766B35"/>
    <w:rsid w:val="0076765F"/>
    <w:rsid w:val="00777C8B"/>
    <w:rsid w:val="007869B4"/>
    <w:rsid w:val="00796872"/>
    <w:rsid w:val="007D393B"/>
    <w:rsid w:val="007F23C0"/>
    <w:rsid w:val="007F5B1B"/>
    <w:rsid w:val="00801DF3"/>
    <w:rsid w:val="00814718"/>
    <w:rsid w:val="00815136"/>
    <w:rsid w:val="0084504F"/>
    <w:rsid w:val="00856838"/>
    <w:rsid w:val="00866189"/>
    <w:rsid w:val="00873C3F"/>
    <w:rsid w:val="0088401F"/>
    <w:rsid w:val="00887D1A"/>
    <w:rsid w:val="008A63F6"/>
    <w:rsid w:val="008C6C92"/>
    <w:rsid w:val="008D1112"/>
    <w:rsid w:val="008D4469"/>
    <w:rsid w:val="008F0A04"/>
    <w:rsid w:val="00905580"/>
    <w:rsid w:val="00905B0B"/>
    <w:rsid w:val="00915724"/>
    <w:rsid w:val="0092084E"/>
    <w:rsid w:val="00925F59"/>
    <w:rsid w:val="00927D89"/>
    <w:rsid w:val="009437AD"/>
    <w:rsid w:val="00973E86"/>
    <w:rsid w:val="009B0025"/>
    <w:rsid w:val="009F2D48"/>
    <w:rsid w:val="009F5AD1"/>
    <w:rsid w:val="009F79EF"/>
    <w:rsid w:val="00A42512"/>
    <w:rsid w:val="00A43B4C"/>
    <w:rsid w:val="00A46ED9"/>
    <w:rsid w:val="00A47187"/>
    <w:rsid w:val="00A75A8B"/>
    <w:rsid w:val="00A776F5"/>
    <w:rsid w:val="00A81853"/>
    <w:rsid w:val="00AA3099"/>
    <w:rsid w:val="00AC6D07"/>
    <w:rsid w:val="00AD2C55"/>
    <w:rsid w:val="00B000EA"/>
    <w:rsid w:val="00B305B2"/>
    <w:rsid w:val="00B4038F"/>
    <w:rsid w:val="00B47A87"/>
    <w:rsid w:val="00B82808"/>
    <w:rsid w:val="00B9067B"/>
    <w:rsid w:val="00BA2962"/>
    <w:rsid w:val="00BA6C3F"/>
    <w:rsid w:val="00BB1C45"/>
    <w:rsid w:val="00BB49CA"/>
    <w:rsid w:val="00BD176D"/>
    <w:rsid w:val="00BD7331"/>
    <w:rsid w:val="00BF1A35"/>
    <w:rsid w:val="00C164EE"/>
    <w:rsid w:val="00C27686"/>
    <w:rsid w:val="00C27EB1"/>
    <w:rsid w:val="00C349A9"/>
    <w:rsid w:val="00C374F4"/>
    <w:rsid w:val="00C42FFA"/>
    <w:rsid w:val="00C445B7"/>
    <w:rsid w:val="00C51E2E"/>
    <w:rsid w:val="00C62B9B"/>
    <w:rsid w:val="00C777D8"/>
    <w:rsid w:val="00C844F6"/>
    <w:rsid w:val="00C84F64"/>
    <w:rsid w:val="00CE4E05"/>
    <w:rsid w:val="00CF3BD9"/>
    <w:rsid w:val="00CF6BA7"/>
    <w:rsid w:val="00D0161E"/>
    <w:rsid w:val="00D17BC6"/>
    <w:rsid w:val="00D4329B"/>
    <w:rsid w:val="00D50BAC"/>
    <w:rsid w:val="00D53190"/>
    <w:rsid w:val="00D740CF"/>
    <w:rsid w:val="00D85613"/>
    <w:rsid w:val="00DA0B97"/>
    <w:rsid w:val="00DB5B72"/>
    <w:rsid w:val="00DE5F98"/>
    <w:rsid w:val="00DF401F"/>
    <w:rsid w:val="00DF5557"/>
    <w:rsid w:val="00E02FA8"/>
    <w:rsid w:val="00E074AD"/>
    <w:rsid w:val="00E14B24"/>
    <w:rsid w:val="00E3157B"/>
    <w:rsid w:val="00E478ED"/>
    <w:rsid w:val="00E57249"/>
    <w:rsid w:val="00EC0B90"/>
    <w:rsid w:val="00EE3856"/>
    <w:rsid w:val="00EE476A"/>
    <w:rsid w:val="00F024C7"/>
    <w:rsid w:val="00F026D1"/>
    <w:rsid w:val="00F17BF8"/>
    <w:rsid w:val="00F24349"/>
    <w:rsid w:val="00F31E74"/>
    <w:rsid w:val="00F33B98"/>
    <w:rsid w:val="00F405E2"/>
    <w:rsid w:val="00F44FA1"/>
    <w:rsid w:val="00F478C5"/>
    <w:rsid w:val="00F52943"/>
    <w:rsid w:val="00F86304"/>
    <w:rsid w:val="00F90F8B"/>
    <w:rsid w:val="00FC0460"/>
    <w:rsid w:val="00FC4267"/>
    <w:rsid w:val="00FC72BF"/>
    <w:rsid w:val="00FD01EA"/>
    <w:rsid w:val="00FD1134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0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D06"/>
    <w:pPr>
      <w:spacing w:after="0" w:line="240" w:lineRule="auto"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0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D06"/>
    <w:pPr>
      <w:spacing w:after="0" w:line="240" w:lineRule="auto"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Upravitelj_3</cp:lastModifiedBy>
  <cp:revision>2</cp:revision>
  <cp:lastPrinted>2021-03-08T12:49:00Z</cp:lastPrinted>
  <dcterms:created xsi:type="dcterms:W3CDTF">2021-03-12T07:55:00Z</dcterms:created>
  <dcterms:modified xsi:type="dcterms:W3CDTF">2021-03-12T07:55:00Z</dcterms:modified>
</cp:coreProperties>
</file>